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77" w:rsidRPr="006B5F77" w:rsidRDefault="006B5F77" w:rsidP="006B5F77">
      <w:pPr>
        <w:widowControl/>
        <w:spacing w:after="0" w:line="240" w:lineRule="auto"/>
        <w:jc w:val="center"/>
        <w:rPr>
          <w:rFonts w:ascii="微软雅黑" w:eastAsia="微软雅黑" w:hAnsi="微软雅黑" w:cs="宋体"/>
          <w:color w:val="000000"/>
          <w:kern w:val="0"/>
          <w:sz w:val="27"/>
          <w:szCs w:val="27"/>
        </w:rPr>
      </w:pPr>
      <w:r w:rsidRPr="006B5F77">
        <w:rPr>
          <w:rFonts w:ascii="微软雅黑" w:eastAsia="微软雅黑" w:hAnsi="微软雅黑" w:cs="宋体" w:hint="eastAsia"/>
          <w:color w:val="000000"/>
          <w:kern w:val="0"/>
          <w:sz w:val="27"/>
          <w:szCs w:val="27"/>
        </w:rPr>
        <w:t>成洛大道（二环路至三环路）道路改造工程一期监理/标段评标结果公示</w:t>
      </w:r>
    </w:p>
    <w:tbl>
      <w:tblPr>
        <w:tblW w:w="5000" w:type="pct"/>
        <w:tblCellMar>
          <w:left w:w="0" w:type="dxa"/>
          <w:right w:w="0" w:type="dxa"/>
        </w:tblCellMar>
        <w:tblLook w:val="04A0" w:firstRow="1" w:lastRow="0" w:firstColumn="1" w:lastColumn="0" w:noHBand="0" w:noVBand="1"/>
      </w:tblPr>
      <w:tblGrid>
        <w:gridCol w:w="1568"/>
        <w:gridCol w:w="1442"/>
        <w:gridCol w:w="1569"/>
        <w:gridCol w:w="9529"/>
      </w:tblGrid>
      <w:tr w:rsidR="006B5F77" w:rsidRPr="006B5F77" w:rsidTr="00091EF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项目及标段名称</w:t>
            </w:r>
          </w:p>
        </w:tc>
        <w:tc>
          <w:tcPr>
            <w:tcW w:w="4444"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成洛大道（二环路至三环路）道路改造工程一期监理/标段</w:t>
            </w:r>
          </w:p>
        </w:tc>
      </w:tr>
      <w:tr w:rsidR="006B5F77" w:rsidRPr="006B5F77" w:rsidTr="00091EF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511"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成都城投基础设施建设投资有限公司</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项目业主联系电话</w:t>
            </w:r>
          </w:p>
        </w:tc>
        <w:tc>
          <w:tcPr>
            <w:tcW w:w="337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028-68814985</w:t>
            </w:r>
          </w:p>
        </w:tc>
      </w:tr>
      <w:tr w:rsidR="006B5F77" w:rsidRPr="006B5F77" w:rsidTr="00091EF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招标人</w:t>
            </w:r>
          </w:p>
        </w:tc>
        <w:tc>
          <w:tcPr>
            <w:tcW w:w="511"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成都城投基础设施建设投资有限公司</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招标人联系电话</w:t>
            </w:r>
          </w:p>
        </w:tc>
        <w:tc>
          <w:tcPr>
            <w:tcW w:w="337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028-68814985</w:t>
            </w:r>
          </w:p>
        </w:tc>
      </w:tr>
      <w:tr w:rsidR="006B5F77" w:rsidRPr="006B5F77" w:rsidTr="00091EF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招标代理机构</w:t>
            </w:r>
          </w:p>
        </w:tc>
        <w:tc>
          <w:tcPr>
            <w:tcW w:w="511"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重庆大正建设工程经济技术有限公司</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招标代理机构联系电话</w:t>
            </w:r>
          </w:p>
        </w:tc>
        <w:tc>
          <w:tcPr>
            <w:tcW w:w="337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028-86669985</w:t>
            </w:r>
          </w:p>
        </w:tc>
      </w:tr>
      <w:tr w:rsidR="006B5F77" w:rsidRPr="006B5F77" w:rsidTr="00091EF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开标地点</w:t>
            </w:r>
          </w:p>
        </w:tc>
        <w:tc>
          <w:tcPr>
            <w:tcW w:w="511"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成都市公共资源交易服务中心</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开标时间</w:t>
            </w:r>
          </w:p>
        </w:tc>
        <w:tc>
          <w:tcPr>
            <w:tcW w:w="337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20200728 - 10:30:00</w:t>
            </w:r>
          </w:p>
        </w:tc>
      </w:tr>
      <w:tr w:rsidR="006B5F77" w:rsidRPr="006B5F77" w:rsidTr="00091EFD">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公示期</w:t>
            </w:r>
          </w:p>
        </w:tc>
        <w:tc>
          <w:tcPr>
            <w:tcW w:w="511"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2020年07月31日~2020年08月04日</w:t>
            </w:r>
          </w:p>
        </w:tc>
        <w:tc>
          <w:tcPr>
            <w:tcW w:w="556"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投标最高限价（元）</w:t>
            </w:r>
          </w:p>
        </w:tc>
        <w:tc>
          <w:tcPr>
            <w:tcW w:w="337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本次监理招标范围内（不含投资控制）的计费基数暂取29410.43万元，本项目招标费率为1.03%，最终监理结算价以二次审核审定的主体施工标段建安工程费及相应的投标人中标取费比例结算为准，投标人中标取费比例=中标费率*招标费率，最终监理结算价=二次审核审定的主体施工标段建安工程费*投标人中标取费比例，最终结算价格不超过</w:t>
            </w:r>
            <w:proofErr w:type="gramStart"/>
            <w:r w:rsidRPr="006B5F77">
              <w:rPr>
                <w:rFonts w:ascii="微软雅黑" w:eastAsia="微软雅黑" w:hAnsi="微软雅黑" w:cs="宋体" w:hint="eastAsia"/>
                <w:color w:val="212121"/>
                <w:kern w:val="0"/>
                <w:szCs w:val="21"/>
              </w:rPr>
              <w:t>经发改委</w:t>
            </w:r>
            <w:proofErr w:type="gramEnd"/>
            <w:r w:rsidRPr="006B5F77">
              <w:rPr>
                <w:rFonts w:ascii="微软雅黑" w:eastAsia="微软雅黑" w:hAnsi="微软雅黑" w:cs="宋体" w:hint="eastAsia"/>
                <w:color w:val="212121"/>
                <w:kern w:val="0"/>
                <w:szCs w:val="21"/>
              </w:rPr>
              <w:t>批复的设计概算中对应的监理费用。</w:t>
            </w:r>
          </w:p>
        </w:tc>
      </w:tr>
    </w:tbl>
    <w:p w:rsidR="006B5F77" w:rsidRPr="006B5F77" w:rsidRDefault="006B5F77" w:rsidP="006B5F77">
      <w:pPr>
        <w:widowControl/>
        <w:spacing w:after="0" w:line="240" w:lineRule="auto"/>
        <w:jc w:val="left"/>
        <w:rPr>
          <w:rFonts w:ascii="微软雅黑" w:eastAsia="微软雅黑" w:hAnsi="微软雅黑" w:cs="宋体"/>
          <w:vanish/>
          <w:color w:val="000000"/>
          <w:kern w:val="0"/>
          <w:szCs w:val="21"/>
        </w:rPr>
      </w:pPr>
    </w:p>
    <w:tbl>
      <w:tblPr>
        <w:tblW w:w="5000" w:type="pct"/>
        <w:tblCellMar>
          <w:left w:w="0" w:type="dxa"/>
          <w:right w:w="0" w:type="dxa"/>
        </w:tblCellMar>
        <w:tblLook w:val="04A0" w:firstRow="1" w:lastRow="0" w:firstColumn="1" w:lastColumn="0" w:noHBand="0" w:noVBand="1"/>
      </w:tblPr>
      <w:tblGrid>
        <w:gridCol w:w="980"/>
        <w:gridCol w:w="6067"/>
        <w:gridCol w:w="2447"/>
        <w:gridCol w:w="3635"/>
        <w:gridCol w:w="979"/>
      </w:tblGrid>
      <w:tr w:rsidR="006B5F77" w:rsidRPr="006B5F77" w:rsidTr="00091EFD">
        <w:tc>
          <w:tcPr>
            <w:tcW w:w="347"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中标候选人及排序</w:t>
            </w:r>
          </w:p>
        </w:tc>
        <w:tc>
          <w:tcPr>
            <w:tcW w:w="2150"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中标候选人名称</w:t>
            </w:r>
          </w:p>
        </w:tc>
        <w:tc>
          <w:tcPr>
            <w:tcW w:w="867"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投标报价（元）</w:t>
            </w:r>
          </w:p>
        </w:tc>
        <w:tc>
          <w:tcPr>
            <w:tcW w:w="1288"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经评审的投标价（元）</w:t>
            </w:r>
          </w:p>
        </w:tc>
        <w:tc>
          <w:tcPr>
            <w:tcW w:w="347" w:type="pct"/>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综合评标得分</w:t>
            </w:r>
          </w:p>
        </w:tc>
      </w:tr>
      <w:tr w:rsidR="006B5F77" w:rsidRPr="006B5F77" w:rsidTr="00091EFD">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第一名</w:t>
            </w:r>
          </w:p>
        </w:tc>
        <w:tc>
          <w:tcPr>
            <w:tcW w:w="21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四川康立项目管理有限责任公司</w:t>
            </w:r>
          </w:p>
        </w:tc>
        <w:tc>
          <w:tcPr>
            <w:tcW w:w="8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本项目招标控制价（招标费率为1.03%）的97%</w:t>
            </w:r>
          </w:p>
        </w:tc>
        <w:tc>
          <w:tcPr>
            <w:tcW w:w="128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本项目招标控制价（招标费率为1.03%）的97%</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96.22</w:t>
            </w:r>
          </w:p>
        </w:tc>
      </w:tr>
      <w:tr w:rsidR="006B5F77" w:rsidRPr="006B5F77" w:rsidTr="00091EFD">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第二名</w:t>
            </w:r>
          </w:p>
        </w:tc>
        <w:tc>
          <w:tcPr>
            <w:tcW w:w="21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中泰天顺集团有限责任公司</w:t>
            </w:r>
          </w:p>
        </w:tc>
        <w:tc>
          <w:tcPr>
            <w:tcW w:w="8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招标控制价的96%</w:t>
            </w:r>
          </w:p>
        </w:tc>
        <w:tc>
          <w:tcPr>
            <w:tcW w:w="128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招标控制价的96%</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89.02</w:t>
            </w:r>
          </w:p>
        </w:tc>
      </w:tr>
      <w:tr w:rsidR="006B5F77" w:rsidRPr="006B5F77" w:rsidTr="00091EFD">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第三名</w:t>
            </w:r>
          </w:p>
        </w:tc>
        <w:tc>
          <w:tcPr>
            <w:tcW w:w="2150"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四川三信建设咨询有限公司</w:t>
            </w:r>
          </w:p>
        </w:tc>
        <w:tc>
          <w:tcPr>
            <w:tcW w:w="86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本项目招标控制价的98%</w:t>
            </w:r>
          </w:p>
        </w:tc>
        <w:tc>
          <w:tcPr>
            <w:tcW w:w="1288"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本项目招标控制价的98%</w:t>
            </w:r>
          </w:p>
        </w:tc>
        <w:tc>
          <w:tcPr>
            <w:tcW w:w="34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86.52</w:t>
            </w:r>
          </w:p>
        </w:tc>
      </w:tr>
    </w:tbl>
    <w:p w:rsidR="006B5F77" w:rsidRPr="006B5F77" w:rsidRDefault="006B5F77" w:rsidP="006B5F77">
      <w:pPr>
        <w:widowControl/>
        <w:spacing w:after="0" w:line="240" w:lineRule="auto"/>
        <w:jc w:val="left"/>
        <w:rPr>
          <w:rFonts w:ascii="微软雅黑" w:eastAsia="微软雅黑" w:hAnsi="微软雅黑" w:cs="宋体"/>
          <w:vanish/>
          <w:color w:val="000000"/>
          <w:kern w:val="0"/>
          <w:szCs w:val="21"/>
        </w:rPr>
      </w:pPr>
    </w:p>
    <w:tbl>
      <w:tblPr>
        <w:tblW w:w="5000" w:type="pct"/>
        <w:tblCellMar>
          <w:left w:w="0" w:type="dxa"/>
          <w:right w:w="0" w:type="dxa"/>
        </w:tblCellMar>
        <w:tblLook w:val="04A0" w:firstRow="1" w:lastRow="0" w:firstColumn="1" w:lastColumn="0" w:noHBand="0" w:noVBand="1"/>
      </w:tblPr>
      <w:tblGrid>
        <w:gridCol w:w="1176"/>
        <w:gridCol w:w="1256"/>
        <w:gridCol w:w="223"/>
        <w:gridCol w:w="872"/>
        <w:gridCol w:w="1600"/>
        <w:gridCol w:w="1137"/>
        <w:gridCol w:w="790"/>
        <w:gridCol w:w="347"/>
        <w:gridCol w:w="2370"/>
        <w:gridCol w:w="810"/>
        <w:gridCol w:w="1019"/>
        <w:gridCol w:w="192"/>
        <w:gridCol w:w="1309"/>
        <w:gridCol w:w="93"/>
        <w:gridCol w:w="900"/>
        <w:gridCol w:w="14"/>
      </w:tblGrid>
      <w:tr w:rsidR="006B5F77" w:rsidRPr="00091EFD" w:rsidTr="00091EFD">
        <w:tc>
          <w:tcPr>
            <w:tcW w:w="5000" w:type="pct"/>
            <w:gridSpan w:val="1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第一中标候选人项目管理机构主要人员</w:t>
            </w:r>
          </w:p>
        </w:tc>
      </w:tr>
      <w:tr w:rsidR="006B5F77" w:rsidRPr="00091EFD" w:rsidTr="00091EFD">
        <w:tc>
          <w:tcPr>
            <w:tcW w:w="41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职务</w:t>
            </w:r>
          </w:p>
        </w:tc>
        <w:tc>
          <w:tcPr>
            <w:tcW w:w="445"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w:t>
            </w:r>
          </w:p>
        </w:tc>
        <w:tc>
          <w:tcPr>
            <w:tcW w:w="3249" w:type="pct"/>
            <w:gridSpan w:val="9"/>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执业或职业资格</w:t>
            </w:r>
          </w:p>
        </w:tc>
        <w:tc>
          <w:tcPr>
            <w:tcW w:w="890" w:type="pct"/>
            <w:gridSpan w:val="5"/>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职称</w:t>
            </w:r>
          </w:p>
        </w:tc>
      </w:tr>
      <w:tr w:rsidR="006B5F77" w:rsidRPr="00091EFD" w:rsidTr="00091EFD">
        <w:tc>
          <w:tcPr>
            <w:tcW w:w="417" w:type="pct"/>
            <w:vMerge/>
            <w:tcBorders>
              <w:top w:val="single" w:sz="6" w:space="0" w:color="212121"/>
              <w:left w:val="single" w:sz="6" w:space="0" w:color="212121"/>
              <w:bottom w:val="single" w:sz="6" w:space="0" w:color="212121"/>
              <w:right w:val="single" w:sz="6" w:space="0" w:color="212121"/>
            </w:tcBorders>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45" w:type="pct"/>
            <w:vMerge/>
            <w:tcBorders>
              <w:top w:val="single" w:sz="6" w:space="0" w:color="212121"/>
              <w:left w:val="single" w:sz="6" w:space="0" w:color="212121"/>
              <w:bottom w:val="single" w:sz="6" w:space="0" w:color="212121"/>
              <w:right w:val="single" w:sz="6" w:space="0" w:color="212121"/>
            </w:tcBorders>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证书名称</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证书编号</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职称专业</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级别</w:t>
            </w:r>
          </w:p>
        </w:tc>
      </w:tr>
      <w:tr w:rsidR="006B5F77" w:rsidRPr="00091EFD" w:rsidTr="00091EF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c>
          <w:tcPr>
            <w:tcW w:w="44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顾小东</w:t>
            </w: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全国注册监理工程师证书（市政公用工程）</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51017470</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土木工程</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中级</w:t>
            </w:r>
          </w:p>
        </w:tc>
      </w:tr>
      <w:tr w:rsidR="006B5F77" w:rsidRPr="00091EFD" w:rsidTr="00091EF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项目技术负责人</w:t>
            </w:r>
          </w:p>
        </w:tc>
        <w:tc>
          <w:tcPr>
            <w:tcW w:w="44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r>
      <w:tr w:rsidR="006B5F77" w:rsidRPr="00091EFD" w:rsidTr="00091EFD">
        <w:tc>
          <w:tcPr>
            <w:tcW w:w="5000" w:type="pct"/>
            <w:gridSpan w:val="1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第二中标候选人项目管理机构主要人员</w:t>
            </w:r>
          </w:p>
        </w:tc>
      </w:tr>
      <w:tr w:rsidR="006B5F77" w:rsidRPr="00091EFD" w:rsidTr="00091EFD">
        <w:tc>
          <w:tcPr>
            <w:tcW w:w="41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职务</w:t>
            </w:r>
          </w:p>
        </w:tc>
        <w:tc>
          <w:tcPr>
            <w:tcW w:w="445"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w:t>
            </w:r>
          </w:p>
        </w:tc>
        <w:tc>
          <w:tcPr>
            <w:tcW w:w="3249" w:type="pct"/>
            <w:gridSpan w:val="9"/>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执业或职业资格</w:t>
            </w:r>
          </w:p>
        </w:tc>
        <w:tc>
          <w:tcPr>
            <w:tcW w:w="890" w:type="pct"/>
            <w:gridSpan w:val="5"/>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职称</w:t>
            </w:r>
          </w:p>
        </w:tc>
      </w:tr>
      <w:tr w:rsidR="006B5F77" w:rsidRPr="00091EFD" w:rsidTr="00091EFD">
        <w:tc>
          <w:tcPr>
            <w:tcW w:w="417" w:type="pct"/>
            <w:vMerge/>
            <w:tcBorders>
              <w:top w:val="single" w:sz="6" w:space="0" w:color="212121"/>
              <w:left w:val="single" w:sz="6" w:space="0" w:color="212121"/>
              <w:bottom w:val="single" w:sz="6" w:space="0" w:color="212121"/>
              <w:right w:val="single" w:sz="6" w:space="0" w:color="212121"/>
            </w:tcBorders>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45" w:type="pct"/>
            <w:vMerge/>
            <w:tcBorders>
              <w:top w:val="single" w:sz="6" w:space="0" w:color="212121"/>
              <w:left w:val="single" w:sz="6" w:space="0" w:color="212121"/>
              <w:bottom w:val="single" w:sz="6" w:space="0" w:color="212121"/>
              <w:right w:val="single" w:sz="6" w:space="0" w:color="212121"/>
            </w:tcBorders>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证书名称</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证书编号</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职称专业</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级别</w:t>
            </w:r>
          </w:p>
        </w:tc>
      </w:tr>
      <w:tr w:rsidR="006B5F77" w:rsidRPr="00091EFD" w:rsidTr="00091EF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c>
          <w:tcPr>
            <w:tcW w:w="44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吴仕保</w:t>
            </w: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全国注册监理工程师证书（市政公用工程专业）</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51016988</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工民建</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中级</w:t>
            </w:r>
          </w:p>
        </w:tc>
      </w:tr>
      <w:tr w:rsidR="006B5F77" w:rsidRPr="00091EFD" w:rsidTr="00091EF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项目技术负责人</w:t>
            </w:r>
          </w:p>
        </w:tc>
        <w:tc>
          <w:tcPr>
            <w:tcW w:w="44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r>
      <w:tr w:rsidR="006B5F77" w:rsidRPr="00091EFD" w:rsidTr="00091EFD">
        <w:tc>
          <w:tcPr>
            <w:tcW w:w="5000" w:type="pct"/>
            <w:gridSpan w:val="1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第三中标候选人项目管理机构主要人员</w:t>
            </w:r>
          </w:p>
        </w:tc>
      </w:tr>
      <w:tr w:rsidR="006B5F77" w:rsidRPr="00091EFD" w:rsidTr="00091EFD">
        <w:tc>
          <w:tcPr>
            <w:tcW w:w="417"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职务</w:t>
            </w:r>
          </w:p>
        </w:tc>
        <w:tc>
          <w:tcPr>
            <w:tcW w:w="445" w:type="pct"/>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w:t>
            </w:r>
          </w:p>
        </w:tc>
        <w:tc>
          <w:tcPr>
            <w:tcW w:w="3249" w:type="pct"/>
            <w:gridSpan w:val="9"/>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执业或职业资格</w:t>
            </w:r>
          </w:p>
        </w:tc>
        <w:tc>
          <w:tcPr>
            <w:tcW w:w="890" w:type="pct"/>
            <w:gridSpan w:val="5"/>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职称</w:t>
            </w:r>
          </w:p>
        </w:tc>
      </w:tr>
      <w:tr w:rsidR="006B5F77" w:rsidRPr="00091EFD" w:rsidTr="00091EFD">
        <w:tc>
          <w:tcPr>
            <w:tcW w:w="417" w:type="pct"/>
            <w:vMerge/>
            <w:tcBorders>
              <w:top w:val="single" w:sz="6" w:space="0" w:color="212121"/>
              <w:left w:val="single" w:sz="6" w:space="0" w:color="212121"/>
              <w:bottom w:val="single" w:sz="6" w:space="0" w:color="212121"/>
              <w:right w:val="single" w:sz="6" w:space="0" w:color="212121"/>
            </w:tcBorders>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45" w:type="pct"/>
            <w:vMerge/>
            <w:tcBorders>
              <w:top w:val="single" w:sz="6" w:space="0" w:color="212121"/>
              <w:left w:val="single" w:sz="6" w:space="0" w:color="212121"/>
              <w:bottom w:val="single" w:sz="6" w:space="0" w:color="212121"/>
              <w:right w:val="single" w:sz="6" w:space="0" w:color="212121"/>
            </w:tcBorders>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证书名称</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证书编号</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职称专业</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级别</w:t>
            </w:r>
          </w:p>
        </w:tc>
      </w:tr>
      <w:tr w:rsidR="006B5F77" w:rsidRPr="00091EFD" w:rsidTr="00091EF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c>
          <w:tcPr>
            <w:tcW w:w="44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庄玉香</w:t>
            </w: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全国注册监理工程师注册证书</w:t>
            </w:r>
            <w:r w:rsidR="00841B0F" w:rsidRPr="006B5F77">
              <w:rPr>
                <w:rFonts w:ascii="微软雅黑" w:eastAsia="微软雅黑" w:hAnsi="微软雅黑" w:cs="宋体" w:hint="eastAsia"/>
                <w:color w:val="212121"/>
                <w:kern w:val="0"/>
                <w:szCs w:val="21"/>
              </w:rPr>
              <w:t>（市政公用工程专业）</w:t>
            </w:r>
            <w:bookmarkStart w:id="0" w:name="_GoBack"/>
            <w:bookmarkEnd w:id="0"/>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51011883</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工民建</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中级</w:t>
            </w:r>
          </w:p>
        </w:tc>
      </w:tr>
      <w:tr w:rsidR="006B5F77" w:rsidRPr="00091EFD" w:rsidTr="00091EFD">
        <w:tc>
          <w:tcPr>
            <w:tcW w:w="417"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项目技术负责人</w:t>
            </w:r>
          </w:p>
        </w:tc>
        <w:tc>
          <w:tcPr>
            <w:tcW w:w="445"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2601"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648"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65"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25"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r>
      <w:tr w:rsidR="006B5F77" w:rsidRPr="00091EFD" w:rsidTr="00091EFD">
        <w:trPr>
          <w:gridAfter w:val="1"/>
          <w:wAfter w:w="5" w:type="pct"/>
        </w:trPr>
        <w:tc>
          <w:tcPr>
            <w:tcW w:w="4995" w:type="pct"/>
            <w:gridSpan w:val="15"/>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第一中标候选人类似业绩</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成都市</w:t>
            </w:r>
            <w:proofErr w:type="gramStart"/>
            <w:r w:rsidRPr="006B5F77">
              <w:rPr>
                <w:rFonts w:ascii="微软雅黑" w:eastAsia="微软雅黑" w:hAnsi="微软雅黑" w:cs="宋体" w:hint="eastAsia"/>
                <w:color w:val="212121"/>
                <w:kern w:val="0"/>
                <w:szCs w:val="21"/>
              </w:rPr>
              <w:t>青蒲小城镇</w:t>
            </w:r>
            <w:proofErr w:type="gramEnd"/>
            <w:r w:rsidRPr="006B5F77">
              <w:rPr>
                <w:rFonts w:ascii="微软雅黑" w:eastAsia="微软雅黑" w:hAnsi="微软雅黑" w:cs="宋体" w:hint="eastAsia"/>
                <w:color w:val="212121"/>
                <w:kern w:val="0"/>
                <w:szCs w:val="21"/>
              </w:rPr>
              <w:t>建设投资有限公司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来龙大道等道路市政基础设施配套建设项目</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20180803</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20190114</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市政道路工程，工程投资1.9719亿元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1198257</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张如全</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成都市武侯区交通和市政设施管理局</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2017年武侯区中小街道黑化改造工程</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20171220</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20181204</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市政道路工程，工程投资1.82亿元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2167500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郭辉</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成都市成华区交通和市政局</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三友路、</w:t>
            </w:r>
            <w:proofErr w:type="gramStart"/>
            <w:r w:rsidRPr="006B5F77">
              <w:rPr>
                <w:rFonts w:ascii="微软雅黑" w:eastAsia="微软雅黑" w:hAnsi="微软雅黑" w:cs="宋体" w:hint="eastAsia"/>
                <w:color w:val="212121"/>
                <w:kern w:val="0"/>
                <w:szCs w:val="21"/>
              </w:rPr>
              <w:t>华油巷</w:t>
            </w:r>
            <w:proofErr w:type="gramEnd"/>
            <w:r w:rsidRPr="006B5F77">
              <w:rPr>
                <w:rFonts w:ascii="微软雅黑" w:eastAsia="微软雅黑" w:hAnsi="微软雅黑" w:cs="宋体" w:hint="eastAsia"/>
                <w:color w:val="212121"/>
                <w:kern w:val="0"/>
                <w:szCs w:val="21"/>
              </w:rPr>
              <w:t>等13条道路黑化整治工程项目、</w:t>
            </w:r>
            <w:proofErr w:type="gramStart"/>
            <w:r w:rsidRPr="006B5F77">
              <w:rPr>
                <w:rFonts w:ascii="微软雅黑" w:eastAsia="微软雅黑" w:hAnsi="微软雅黑" w:cs="宋体" w:hint="eastAsia"/>
                <w:color w:val="212121"/>
                <w:kern w:val="0"/>
                <w:szCs w:val="21"/>
              </w:rPr>
              <w:t>怡</w:t>
            </w:r>
            <w:proofErr w:type="gramEnd"/>
            <w:r w:rsidRPr="006B5F77">
              <w:rPr>
                <w:rFonts w:ascii="微软雅黑" w:eastAsia="微软雅黑" w:hAnsi="微软雅黑" w:cs="宋体" w:hint="eastAsia"/>
                <w:color w:val="212121"/>
                <w:kern w:val="0"/>
                <w:szCs w:val="21"/>
              </w:rPr>
              <w:t>福路、</w:t>
            </w:r>
            <w:proofErr w:type="gramStart"/>
            <w:r w:rsidRPr="006B5F77">
              <w:rPr>
                <w:rFonts w:ascii="微软雅黑" w:eastAsia="微软雅黑" w:hAnsi="微软雅黑" w:cs="宋体" w:hint="eastAsia"/>
                <w:color w:val="212121"/>
                <w:kern w:val="0"/>
                <w:szCs w:val="21"/>
              </w:rPr>
              <w:t>怡福巷</w:t>
            </w:r>
            <w:proofErr w:type="gramEnd"/>
            <w:r w:rsidRPr="006B5F77">
              <w:rPr>
                <w:rFonts w:ascii="微软雅黑" w:eastAsia="微软雅黑" w:hAnsi="微软雅黑" w:cs="宋体" w:hint="eastAsia"/>
                <w:color w:val="212121"/>
                <w:kern w:val="0"/>
                <w:szCs w:val="21"/>
              </w:rPr>
              <w:t>等18条道路黑化整治工程项目、和锦路、和韵路等12条道路黑化整治工程项目及新风路、</w:t>
            </w:r>
            <w:proofErr w:type="gramStart"/>
            <w:r w:rsidRPr="006B5F77">
              <w:rPr>
                <w:rFonts w:ascii="微软雅黑" w:eastAsia="微软雅黑" w:hAnsi="微软雅黑" w:cs="宋体" w:hint="eastAsia"/>
                <w:color w:val="212121"/>
                <w:kern w:val="0"/>
                <w:szCs w:val="21"/>
              </w:rPr>
              <w:t>双建路道</w:t>
            </w:r>
            <w:proofErr w:type="gramEnd"/>
            <w:r w:rsidRPr="006B5F77">
              <w:rPr>
                <w:rFonts w:ascii="微软雅黑" w:eastAsia="微软雅黑" w:hAnsi="微软雅黑" w:cs="宋体" w:hint="eastAsia"/>
                <w:color w:val="212121"/>
                <w:kern w:val="0"/>
                <w:szCs w:val="21"/>
              </w:rPr>
              <w:t>路整治工程项目</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20170331</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20171109</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市政道路工程，工程投资1.4亿元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2063052.60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roofErr w:type="gramStart"/>
            <w:r w:rsidRPr="006B5F77">
              <w:rPr>
                <w:rFonts w:ascii="微软雅黑" w:eastAsia="微软雅黑" w:hAnsi="微软雅黑" w:cs="宋体" w:hint="eastAsia"/>
                <w:color w:val="212121"/>
                <w:kern w:val="0"/>
                <w:szCs w:val="21"/>
              </w:rPr>
              <w:t>曹顺金</w:t>
            </w:r>
            <w:proofErr w:type="gramEnd"/>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四川雄州实业有限责任公司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简阳市</w:t>
            </w:r>
            <w:proofErr w:type="gramStart"/>
            <w:r w:rsidRPr="006B5F77">
              <w:rPr>
                <w:rFonts w:ascii="微软雅黑" w:eastAsia="微软雅黑" w:hAnsi="微软雅黑" w:cs="宋体" w:hint="eastAsia"/>
                <w:color w:val="212121"/>
                <w:kern w:val="0"/>
                <w:szCs w:val="21"/>
              </w:rPr>
              <w:t>东城新区</w:t>
            </w:r>
            <w:proofErr w:type="gramEnd"/>
            <w:r w:rsidRPr="006B5F77">
              <w:rPr>
                <w:rFonts w:ascii="微软雅黑" w:eastAsia="微软雅黑" w:hAnsi="微软雅黑" w:cs="宋体" w:hint="eastAsia"/>
                <w:color w:val="212121"/>
                <w:kern w:val="0"/>
                <w:szCs w:val="21"/>
              </w:rPr>
              <w:t>雄州大道提</w:t>
            </w:r>
            <w:proofErr w:type="gramStart"/>
            <w:r w:rsidRPr="006B5F77">
              <w:rPr>
                <w:rFonts w:ascii="微软雅黑" w:eastAsia="微软雅黑" w:hAnsi="微软雅黑" w:cs="宋体" w:hint="eastAsia"/>
                <w:color w:val="212121"/>
                <w:kern w:val="0"/>
                <w:szCs w:val="21"/>
              </w:rPr>
              <w:t>质改造</w:t>
            </w:r>
            <w:proofErr w:type="gramEnd"/>
            <w:r w:rsidRPr="006B5F77">
              <w:rPr>
                <w:rFonts w:ascii="微软雅黑" w:eastAsia="微软雅黑" w:hAnsi="微软雅黑" w:cs="宋体" w:hint="eastAsia"/>
                <w:color w:val="212121"/>
                <w:kern w:val="0"/>
                <w:szCs w:val="21"/>
              </w:rPr>
              <w:t>工程BLT+EPC项目</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20170817</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市政道路工程，工程投资6.7868亿元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5292200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欧阳宁</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成都蓉欧投资发展有限责任公司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成都国际</w:t>
            </w:r>
            <w:proofErr w:type="gramStart"/>
            <w:r w:rsidRPr="006B5F77">
              <w:rPr>
                <w:rFonts w:ascii="微软雅黑" w:eastAsia="微软雅黑" w:hAnsi="微软雅黑" w:cs="宋体" w:hint="eastAsia"/>
                <w:color w:val="212121"/>
                <w:kern w:val="0"/>
                <w:szCs w:val="21"/>
              </w:rPr>
              <w:t>铁路港香岛</w:t>
            </w:r>
            <w:proofErr w:type="gramEnd"/>
            <w:r w:rsidRPr="006B5F77">
              <w:rPr>
                <w:rFonts w:ascii="微软雅黑" w:eastAsia="微软雅黑" w:hAnsi="微软雅黑" w:cs="宋体" w:hint="eastAsia"/>
                <w:color w:val="212121"/>
                <w:kern w:val="0"/>
                <w:szCs w:val="21"/>
              </w:rPr>
              <w:t>大道升级改造项目（一期）</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20170605</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20180831</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市政道路改造工程，工程投资1.87亿元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1970000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胡冬梅</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成都天府新区建设投资有限公司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“拨改租”第一批、第三批项目（一期）监理</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20170401</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20190801</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市政道路工程，工程投资8.256959亿元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6697985.06</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李刚</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成都城投基础设施建设投资有限公司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利民路（大天路-</w:t>
            </w:r>
            <w:proofErr w:type="gramStart"/>
            <w:r w:rsidRPr="006B5F77">
              <w:rPr>
                <w:rFonts w:ascii="微软雅黑" w:eastAsia="微软雅黑" w:hAnsi="微软雅黑" w:cs="宋体" w:hint="eastAsia"/>
                <w:color w:val="212121"/>
                <w:kern w:val="0"/>
                <w:szCs w:val="21"/>
              </w:rPr>
              <w:t>聚霞路段</w:t>
            </w:r>
            <w:proofErr w:type="gramEnd"/>
            <w:r w:rsidRPr="006B5F77">
              <w:rPr>
                <w:rFonts w:ascii="微软雅黑" w:eastAsia="微软雅黑" w:hAnsi="微软雅黑" w:cs="宋体" w:hint="eastAsia"/>
                <w:color w:val="212121"/>
                <w:kern w:val="0"/>
                <w:szCs w:val="21"/>
              </w:rPr>
              <w:t>）建设工程</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20191001</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市政道路工程：工程投资3.710029亿元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3598700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周延春</w:t>
            </w:r>
          </w:p>
        </w:tc>
      </w:tr>
      <w:tr w:rsidR="006B5F77" w:rsidRPr="00091EFD" w:rsidTr="00091EFD">
        <w:trPr>
          <w:gridAfter w:val="1"/>
          <w:wAfter w:w="5" w:type="pct"/>
        </w:trPr>
        <w:tc>
          <w:tcPr>
            <w:tcW w:w="4995" w:type="pct"/>
            <w:gridSpan w:val="15"/>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第一中标候选人项目负责人类似业绩</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技术负责人</w:t>
            </w:r>
          </w:p>
        </w:tc>
      </w:tr>
      <w:tr w:rsidR="006B5F77" w:rsidRPr="00091EFD" w:rsidTr="00091EFD">
        <w:trPr>
          <w:gridAfter w:val="1"/>
          <w:wAfter w:w="5" w:type="pct"/>
        </w:trPr>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r>
      <w:tr w:rsidR="006B5F77" w:rsidRPr="00091EFD" w:rsidTr="00091EFD">
        <w:tc>
          <w:tcPr>
            <w:tcW w:w="5000" w:type="pct"/>
            <w:gridSpan w:val="1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第一中标候选人技术负责人类似业绩(四川康立项目管理有限责任公司)</w:t>
            </w: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4995" w:type="pct"/>
            <w:gridSpan w:val="15"/>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第二中标候选人类似业绩</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roofErr w:type="gramStart"/>
            <w:r w:rsidRPr="006B5F77">
              <w:rPr>
                <w:rFonts w:ascii="微软雅黑" w:eastAsia="微软雅黑" w:hAnsi="微软雅黑" w:cs="宋体" w:hint="eastAsia"/>
                <w:color w:val="212121"/>
                <w:kern w:val="0"/>
                <w:szCs w:val="21"/>
              </w:rPr>
              <w:t>达州市</w:t>
            </w:r>
            <w:proofErr w:type="gramEnd"/>
            <w:r w:rsidRPr="006B5F77">
              <w:rPr>
                <w:rFonts w:ascii="微软雅黑" w:eastAsia="微软雅黑" w:hAnsi="微软雅黑" w:cs="宋体" w:hint="eastAsia"/>
                <w:color w:val="212121"/>
                <w:kern w:val="0"/>
                <w:szCs w:val="21"/>
              </w:rPr>
              <w:t>住房和城乡建设局</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roofErr w:type="gramStart"/>
            <w:r w:rsidRPr="006B5F77">
              <w:rPr>
                <w:rFonts w:ascii="微软雅黑" w:eastAsia="微软雅黑" w:hAnsi="微软雅黑" w:cs="宋体" w:hint="eastAsia"/>
                <w:color w:val="212121"/>
                <w:kern w:val="0"/>
                <w:szCs w:val="21"/>
              </w:rPr>
              <w:t>达州市</w:t>
            </w:r>
            <w:proofErr w:type="gramEnd"/>
            <w:r w:rsidRPr="006B5F77">
              <w:rPr>
                <w:rFonts w:ascii="微软雅黑" w:eastAsia="微软雅黑" w:hAnsi="微软雅黑" w:cs="宋体" w:hint="eastAsia"/>
                <w:color w:val="212121"/>
                <w:kern w:val="0"/>
                <w:szCs w:val="21"/>
              </w:rPr>
              <w:t>快速通道拓宽改造西段（含立交桥）工程</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20170826</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20190118</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将白塔路-朝阳中路-快速通道平面交叉口改造为立交，同时将现有快速通道拓宽17米宽路福、双向4车道、设计车速40千米/小时的城市次干道，将朝阳中路凤凰大道至塔环路段拓宽为设计车速50千米/小时的城市主干道等，方案为沿现状滨河路上布设高架桥【桥面采用预应力砼箱梁和叠合梁】。总投资15318.3995</w:t>
            </w:r>
            <w:r w:rsidRPr="006B5F77">
              <w:rPr>
                <w:rFonts w:ascii="微软雅黑" w:eastAsia="微软雅黑" w:hAnsi="微软雅黑" w:cs="宋体" w:hint="eastAsia"/>
                <w:color w:val="212121"/>
                <w:kern w:val="0"/>
                <w:szCs w:val="21"/>
              </w:rPr>
              <w:lastRenderedPageBreak/>
              <w:t>万元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2192525</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李德波</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roofErr w:type="gramStart"/>
            <w:r w:rsidRPr="006B5F77">
              <w:rPr>
                <w:rFonts w:ascii="微软雅黑" w:eastAsia="微软雅黑" w:hAnsi="微软雅黑" w:cs="宋体" w:hint="eastAsia"/>
                <w:color w:val="212121"/>
                <w:kern w:val="0"/>
                <w:szCs w:val="21"/>
              </w:rPr>
              <w:lastRenderedPageBreak/>
              <w:t>达州市</w:t>
            </w:r>
            <w:proofErr w:type="gramEnd"/>
            <w:r w:rsidRPr="006B5F77">
              <w:rPr>
                <w:rFonts w:ascii="微软雅黑" w:eastAsia="微软雅黑" w:hAnsi="微软雅黑" w:cs="宋体" w:hint="eastAsia"/>
                <w:color w:val="212121"/>
                <w:kern w:val="0"/>
                <w:szCs w:val="21"/>
              </w:rPr>
              <w:t>通川区住房和城乡规划建设局</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环城产业大道项目复兴至双龙段PPP模式工程监理服务</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20170307</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20190608</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实施的工程内容包含道路工程、桥涵工程、排水工程、照明工程、交通工程和绿化工程。项目总投资113723.41万元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7153500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roofErr w:type="gramStart"/>
            <w:r w:rsidRPr="006B5F77">
              <w:rPr>
                <w:rFonts w:ascii="微软雅黑" w:eastAsia="微软雅黑" w:hAnsi="微软雅黑" w:cs="宋体" w:hint="eastAsia"/>
                <w:color w:val="212121"/>
                <w:kern w:val="0"/>
                <w:szCs w:val="21"/>
              </w:rPr>
              <w:t>艾小榆</w:t>
            </w:r>
            <w:proofErr w:type="gramEnd"/>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德阳市建设投资发展集团有限公司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沱江路（</w:t>
            </w:r>
            <w:proofErr w:type="gramStart"/>
            <w:r w:rsidRPr="006B5F77">
              <w:rPr>
                <w:rFonts w:ascii="微软雅黑" w:eastAsia="微软雅黑" w:hAnsi="微软雅黑" w:cs="宋体" w:hint="eastAsia"/>
                <w:color w:val="212121"/>
                <w:kern w:val="0"/>
                <w:szCs w:val="21"/>
              </w:rPr>
              <w:t>绵远河</w:t>
            </w:r>
            <w:proofErr w:type="gramEnd"/>
            <w:r w:rsidRPr="006B5F77">
              <w:rPr>
                <w:rFonts w:ascii="微软雅黑" w:eastAsia="微软雅黑" w:hAnsi="微软雅黑" w:cs="宋体" w:hint="eastAsia"/>
                <w:color w:val="212121"/>
                <w:kern w:val="0"/>
                <w:szCs w:val="21"/>
              </w:rPr>
              <w:t>-宝成铁路）等六条道路改造提升工程</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20171222</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20190124</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沱江路（</w:t>
            </w:r>
            <w:proofErr w:type="gramStart"/>
            <w:r w:rsidRPr="006B5F77">
              <w:rPr>
                <w:rFonts w:ascii="微软雅黑" w:eastAsia="微软雅黑" w:hAnsi="微软雅黑" w:cs="宋体" w:hint="eastAsia"/>
                <w:color w:val="212121"/>
                <w:kern w:val="0"/>
                <w:szCs w:val="21"/>
              </w:rPr>
              <w:t>绵远河</w:t>
            </w:r>
            <w:proofErr w:type="gramEnd"/>
            <w:r w:rsidRPr="006B5F77">
              <w:rPr>
                <w:rFonts w:ascii="微软雅黑" w:eastAsia="微软雅黑" w:hAnsi="微软雅黑" w:cs="宋体" w:hint="eastAsia"/>
                <w:color w:val="212121"/>
                <w:kern w:val="0"/>
                <w:szCs w:val="21"/>
              </w:rPr>
              <w:t>-宝成铁路）、东南西北街及署前街、华山路（嘉陵江路-五岔路口）、龙泉山路（黄河路-岷江路）、岷山路（嘉陵江路-岷江路）、珠江路（珠江路桥西-二重东大门）等。总投资73577.99万元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3280248</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瞿科芳、黄迪东</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资阳空港投资有限责任公司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资阳市临空经济区产业新城路网工程（一期）纵四路（暂定名）建设项目</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20191011</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建设道路长约6116米，总投资约131199万元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11298623</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李</w:t>
            </w:r>
            <w:proofErr w:type="gramStart"/>
            <w:r w:rsidRPr="006B5F77">
              <w:rPr>
                <w:rFonts w:ascii="微软雅黑" w:eastAsia="微软雅黑" w:hAnsi="微软雅黑" w:cs="宋体" w:hint="eastAsia"/>
                <w:color w:val="212121"/>
                <w:kern w:val="0"/>
                <w:szCs w:val="21"/>
              </w:rPr>
              <w:t>世</w:t>
            </w:r>
            <w:proofErr w:type="gramEnd"/>
            <w:r w:rsidRPr="006B5F77">
              <w:rPr>
                <w:rFonts w:ascii="微软雅黑" w:eastAsia="微软雅黑" w:hAnsi="微软雅黑" w:cs="宋体" w:hint="eastAsia"/>
                <w:color w:val="212121"/>
                <w:kern w:val="0"/>
                <w:szCs w:val="21"/>
              </w:rPr>
              <w:t>俊</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4995" w:type="pct"/>
            <w:gridSpan w:val="15"/>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第二中标候选人项目负责人类似业绩</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技术负责人</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5000" w:type="pct"/>
            <w:gridSpan w:val="1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第二中标候选人技术负责人类似业绩(中泰天顺集团有限责任公司)</w:t>
            </w: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w:t>
            </w:r>
            <w:r w:rsidRPr="006B5F77">
              <w:rPr>
                <w:rFonts w:ascii="微软雅黑" w:eastAsia="微软雅黑" w:hAnsi="微软雅黑" w:cs="宋体" w:hint="eastAsia"/>
                <w:color w:val="212121"/>
                <w:kern w:val="0"/>
                <w:szCs w:val="21"/>
              </w:rPr>
              <w:lastRenderedPageBreak/>
              <w:t>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w:t>
            </w:r>
            <w:r w:rsidRPr="006B5F77">
              <w:rPr>
                <w:rFonts w:ascii="微软雅黑" w:eastAsia="微软雅黑" w:hAnsi="微软雅黑" w:cs="宋体" w:hint="eastAsia"/>
                <w:color w:val="212121"/>
                <w:kern w:val="0"/>
                <w:szCs w:val="21"/>
              </w:rPr>
              <w:lastRenderedPageBreak/>
              <w:t>（元）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项目负责</w:t>
            </w:r>
            <w:r w:rsidRPr="006B5F77">
              <w:rPr>
                <w:rFonts w:ascii="微软雅黑" w:eastAsia="微软雅黑" w:hAnsi="微软雅黑" w:cs="宋体" w:hint="eastAsia"/>
                <w:color w:val="212121"/>
                <w:kern w:val="0"/>
                <w:szCs w:val="21"/>
              </w:rPr>
              <w:lastRenderedPageBreak/>
              <w:t>人</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无</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4995" w:type="pct"/>
            <w:gridSpan w:val="15"/>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第三中标候选人类似业绩</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成都市龙泉山城市森林公园投资经营有限公司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成都龙泉山城市森林公园环山景观大道建设项目监理二标段（含景观园林绿化工程）</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20180905</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工程投资：118.9亿元。本</w:t>
            </w:r>
            <w:proofErr w:type="gramStart"/>
            <w:r w:rsidRPr="006B5F77">
              <w:rPr>
                <w:rFonts w:ascii="微软雅黑" w:eastAsia="微软雅黑" w:hAnsi="微软雅黑" w:cs="宋体" w:hint="eastAsia"/>
                <w:color w:val="212121"/>
                <w:kern w:val="0"/>
                <w:szCs w:val="21"/>
              </w:rPr>
              <w:t>项目环</w:t>
            </w:r>
            <w:proofErr w:type="gramEnd"/>
            <w:r w:rsidRPr="006B5F77">
              <w:rPr>
                <w:rFonts w:ascii="微软雅黑" w:eastAsia="微软雅黑" w:hAnsi="微软雅黑" w:cs="宋体" w:hint="eastAsia"/>
                <w:color w:val="212121"/>
                <w:kern w:val="0"/>
                <w:szCs w:val="21"/>
              </w:rPr>
              <w:t>龙泉山城市森林公园布设，串联金堂、简阳、高新、天府新区、龙泉</w:t>
            </w:r>
            <w:proofErr w:type="gramStart"/>
            <w:r w:rsidRPr="006B5F77">
              <w:rPr>
                <w:rFonts w:ascii="微软雅黑" w:eastAsia="微软雅黑" w:hAnsi="微软雅黑" w:cs="宋体" w:hint="eastAsia"/>
                <w:color w:val="212121"/>
                <w:kern w:val="0"/>
                <w:szCs w:val="21"/>
              </w:rPr>
              <w:t>驿</w:t>
            </w:r>
            <w:proofErr w:type="gramEnd"/>
            <w:r w:rsidRPr="006B5F77">
              <w:rPr>
                <w:rFonts w:ascii="微软雅黑" w:eastAsia="微软雅黑" w:hAnsi="微软雅黑" w:cs="宋体" w:hint="eastAsia"/>
                <w:color w:val="212121"/>
                <w:kern w:val="0"/>
                <w:szCs w:val="21"/>
              </w:rPr>
              <w:t>区、</w:t>
            </w:r>
            <w:proofErr w:type="gramStart"/>
            <w:r w:rsidRPr="006B5F77">
              <w:rPr>
                <w:rFonts w:ascii="微软雅黑" w:eastAsia="微软雅黑" w:hAnsi="微软雅黑" w:cs="宋体" w:hint="eastAsia"/>
                <w:color w:val="212121"/>
                <w:kern w:val="0"/>
                <w:szCs w:val="21"/>
              </w:rPr>
              <w:t>青白江</w:t>
            </w:r>
            <w:proofErr w:type="gramEnd"/>
            <w:r w:rsidRPr="006B5F77">
              <w:rPr>
                <w:rFonts w:ascii="微软雅黑" w:eastAsia="微软雅黑" w:hAnsi="微软雅黑" w:cs="宋体" w:hint="eastAsia"/>
                <w:color w:val="212121"/>
                <w:kern w:val="0"/>
                <w:szCs w:val="21"/>
              </w:rPr>
              <w:t>6个区县，全线长约245公里（含共线段），双向4车道，涵盖道路、交通、给排水、景观、电力通讯、燃气、照明、综合管廊、桥梁渠道工程、涵洞工程、隧道工程以及驿站、服务区、智能交通等相关建设内容。</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33880000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王成军</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成都市金牛区建设和交通局</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金牛区九里堤、抚琴等5个片区50条道路路面“白+黑”提升维护整治工程监理</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20170307</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20171228</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工程投资12554.08万元。金牛区九里堤、抚琴等5个片区道路进行维护整治，整治道路50条，道路长度约20公里。主要建设内容为道路人行道、车行道整治、桥面铺装整治、绿化树池整治、路灯迁改、交安工程及架空线下地等。</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2386800</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胡陆</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四川省福</w:t>
            </w:r>
            <w:proofErr w:type="gramStart"/>
            <w:r w:rsidRPr="006B5F77">
              <w:rPr>
                <w:rFonts w:ascii="微软雅黑" w:eastAsia="微软雅黑" w:hAnsi="微软雅黑" w:cs="宋体" w:hint="eastAsia"/>
                <w:color w:val="212121"/>
                <w:kern w:val="0"/>
                <w:szCs w:val="21"/>
              </w:rPr>
              <w:t>满坝投资</w:t>
            </w:r>
            <w:proofErr w:type="gramEnd"/>
            <w:r w:rsidRPr="006B5F77">
              <w:rPr>
                <w:rFonts w:ascii="微软雅黑" w:eastAsia="微软雅黑" w:hAnsi="微软雅黑" w:cs="宋体" w:hint="eastAsia"/>
                <w:color w:val="212121"/>
                <w:kern w:val="0"/>
                <w:szCs w:val="21"/>
              </w:rPr>
              <w:t>管理有</w:t>
            </w:r>
            <w:r w:rsidRPr="006B5F77">
              <w:rPr>
                <w:rFonts w:ascii="微软雅黑" w:eastAsia="微软雅黑" w:hAnsi="微软雅黑" w:cs="宋体" w:hint="eastAsia"/>
                <w:color w:val="212121"/>
                <w:kern w:val="0"/>
                <w:szCs w:val="21"/>
              </w:rPr>
              <w:lastRenderedPageBreak/>
              <w:t>限公司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南部县</w:t>
            </w:r>
            <w:proofErr w:type="gramStart"/>
            <w:r w:rsidRPr="006B5F77">
              <w:rPr>
                <w:rFonts w:ascii="微软雅黑" w:eastAsia="微软雅黑" w:hAnsi="微软雅黑" w:cs="宋体" w:hint="eastAsia"/>
                <w:color w:val="212121"/>
                <w:kern w:val="0"/>
                <w:szCs w:val="21"/>
              </w:rPr>
              <w:t>福满坝滨江</w:t>
            </w:r>
            <w:proofErr w:type="gramEnd"/>
            <w:r w:rsidRPr="006B5F77">
              <w:rPr>
                <w:rFonts w:ascii="微软雅黑" w:eastAsia="微软雅黑" w:hAnsi="微软雅黑" w:cs="宋体" w:hint="eastAsia"/>
                <w:color w:val="212121"/>
                <w:kern w:val="0"/>
                <w:szCs w:val="21"/>
              </w:rPr>
              <w:t>大道</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20170701</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20190910</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工程投资172293045。道路工程（含土石方、</w:t>
            </w:r>
            <w:r w:rsidRPr="006B5F77">
              <w:rPr>
                <w:rFonts w:ascii="微软雅黑" w:eastAsia="微软雅黑" w:hAnsi="微软雅黑" w:cs="宋体" w:hint="eastAsia"/>
                <w:color w:val="212121"/>
                <w:kern w:val="0"/>
                <w:szCs w:val="21"/>
              </w:rPr>
              <w:lastRenderedPageBreak/>
              <w:t>路基、路面、边坡防护）、桥涵工程、管线工程、交通工程、安装工程和绿化工程，全场4332.59米</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27559703</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胡陆</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成都东方广益投资有限公司</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龙潭工业区铁路以东基础设施及配套20个子项（“建设-移交-维护”融资建设模式）</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20170805</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20190630</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新建11条工业园区内市政道路、生态公园、停车场、改建4条河渠、铁路保护绿化带及铁路以东场平打围等20个子项。项目总投资约127046万元</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10244419</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冯波</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4995" w:type="pct"/>
            <w:gridSpan w:val="15"/>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第三中标候选人项目负责人类似业绩</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技术负责人</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5000" w:type="pct"/>
            <w:gridSpan w:val="1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第三中标候选人技术负责人类似业绩(四川三信建设咨询有限公司)</w:t>
            </w: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项目业主</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项目名称</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开工日期</w:t>
            </w: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竣工（交工）日期</w:t>
            </w: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建设规模</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合同价格（元）</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项目负责人</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941"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876"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03"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403"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1556"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464" w:type="pc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352" w:type="pct"/>
            <w:gridSpan w:val="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无</w:t>
            </w:r>
          </w:p>
        </w:tc>
        <w:tc>
          <w:tcPr>
            <w:tcW w:w="5" w:type="pct"/>
            <w:vAlign w:val="center"/>
            <w:hideMark/>
          </w:tcPr>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p>
        </w:tc>
      </w:tr>
      <w:tr w:rsidR="006B5F77" w:rsidRPr="00091EFD" w:rsidTr="00091EFD">
        <w:tc>
          <w:tcPr>
            <w:tcW w:w="5000" w:type="pct"/>
            <w:gridSpan w:val="16"/>
            <w:tcBorders>
              <w:top w:val="nil"/>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其他投标人（除中标候选人之外的）评审情况</w:t>
            </w:r>
          </w:p>
        </w:tc>
      </w:tr>
      <w:tr w:rsidR="006B5F77" w:rsidRPr="00091EFD"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投标人名称</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投标报价（元）或否决投标依据条款（投标文件被认定为不合格所依据的</w:t>
            </w:r>
            <w:r w:rsidRPr="006B5F77">
              <w:rPr>
                <w:rFonts w:ascii="微软雅黑" w:eastAsia="微软雅黑" w:hAnsi="微软雅黑" w:cs="宋体" w:hint="eastAsia"/>
                <w:color w:val="212121"/>
                <w:kern w:val="0"/>
                <w:szCs w:val="21"/>
              </w:rPr>
              <w:lastRenderedPageBreak/>
              <w:t>招标文件评标办法中的评审因素和评审标准的条款）</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经评审的投标价（元）或否决投标理由（投标文件被认定为不合格的具体</w:t>
            </w:r>
            <w:r w:rsidRPr="006B5F77">
              <w:rPr>
                <w:rFonts w:ascii="微软雅黑" w:eastAsia="微软雅黑" w:hAnsi="微软雅黑" w:cs="宋体" w:hint="eastAsia"/>
                <w:color w:val="212121"/>
                <w:kern w:val="0"/>
                <w:szCs w:val="21"/>
              </w:rPr>
              <w:lastRenderedPageBreak/>
              <w:t>事实,不得简单地表述为未响应招标文件实质性内容、某处有问题等）</w:t>
            </w:r>
          </w:p>
        </w:tc>
        <w:tc>
          <w:tcPr>
            <w:tcW w:w="125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综合评估得分或备注</w:t>
            </w:r>
          </w:p>
        </w:tc>
      </w:tr>
      <w:tr w:rsidR="006B5F77" w:rsidRPr="00091EFD"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中新凯瑞工程咨询有限公司</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招标控制价中本项目招标费率的98%</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w:t>
            </w:r>
          </w:p>
        </w:tc>
        <w:tc>
          <w:tcPr>
            <w:tcW w:w="125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70.40</w:t>
            </w:r>
          </w:p>
        </w:tc>
      </w:tr>
      <w:tr w:rsidR="006B5F77" w:rsidRPr="00091EFD"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中国华西工程设计建设有限公司</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愿意以本项目招标控制价（招标费率：1.03%）的99%的投标报价</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w:t>
            </w:r>
          </w:p>
        </w:tc>
        <w:tc>
          <w:tcPr>
            <w:tcW w:w="125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81.98</w:t>
            </w:r>
          </w:p>
        </w:tc>
      </w:tr>
      <w:tr w:rsidR="006B5F77" w:rsidRPr="006B5F77"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6B5F77">
            <w:pPr>
              <w:widowControl/>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江</w:t>
            </w:r>
            <w:proofErr w:type="gramStart"/>
            <w:r w:rsidRPr="006B5F77">
              <w:rPr>
                <w:rFonts w:ascii="微软雅黑" w:eastAsia="微软雅黑" w:hAnsi="微软雅黑" w:cs="宋体" w:hint="eastAsia"/>
                <w:color w:val="212121"/>
                <w:kern w:val="0"/>
                <w:szCs w:val="21"/>
              </w:rPr>
              <w:t>阳建设</w:t>
            </w:r>
            <w:proofErr w:type="gramEnd"/>
            <w:r w:rsidRPr="006B5F77">
              <w:rPr>
                <w:rFonts w:ascii="微软雅黑" w:eastAsia="微软雅黑" w:hAnsi="微软雅黑" w:cs="宋体" w:hint="eastAsia"/>
                <w:color w:val="212121"/>
                <w:kern w:val="0"/>
                <w:szCs w:val="21"/>
              </w:rPr>
              <w:t>集团有限公司</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6B5F77">
            <w:pPr>
              <w:widowControl/>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招标控制价（本项目招标费率：1.03%）的97%</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6B5F77">
            <w:pPr>
              <w:widowControl/>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w:t>
            </w:r>
          </w:p>
        </w:tc>
        <w:tc>
          <w:tcPr>
            <w:tcW w:w="125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6B5F77">
            <w:pPr>
              <w:widowControl/>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85.73</w:t>
            </w:r>
          </w:p>
        </w:tc>
      </w:tr>
      <w:tr w:rsidR="006B5F77" w:rsidRPr="00091EFD"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江苏大洲工程项目管理有限公司</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按本项目招标控制价的95%</w:t>
            </w:r>
          </w:p>
        </w:tc>
        <w:tc>
          <w:tcPr>
            <w:tcW w:w="1250" w:type="pct"/>
            <w:gridSpan w:val="3"/>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w:t>
            </w:r>
          </w:p>
        </w:tc>
        <w:tc>
          <w:tcPr>
            <w:tcW w:w="125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73.99</w:t>
            </w:r>
          </w:p>
        </w:tc>
      </w:tr>
      <w:tr w:rsidR="006B5F77" w:rsidRPr="00091EFD"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其它需公示的内容</w:t>
            </w:r>
          </w:p>
        </w:tc>
        <w:tc>
          <w:tcPr>
            <w:tcW w:w="3750" w:type="pct"/>
            <w:gridSpan w:val="1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w:t>
            </w:r>
          </w:p>
        </w:tc>
      </w:tr>
      <w:tr w:rsidR="006B5F77" w:rsidRPr="00091EFD"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评标委员会成员名单</w:t>
            </w:r>
          </w:p>
        </w:tc>
        <w:tc>
          <w:tcPr>
            <w:tcW w:w="3750" w:type="pct"/>
            <w:gridSpan w:val="1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姓名：袁俊</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单位：成都衡泰工程管理有限责任公司</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姓名：张凯</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单位：四川新永一集团有限公司</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姓名：李华</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单位：招标人代表</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姓名：童斌</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单位：成都交大工程建设集团有限公司</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姓名：高云</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单位：退休</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姓名：董继松</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单位：四川元丰建设项目管理有限公司</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姓名：</w:t>
            </w:r>
            <w:proofErr w:type="gramStart"/>
            <w:r w:rsidRPr="006B5F77">
              <w:rPr>
                <w:rFonts w:ascii="微软雅黑" w:eastAsia="微软雅黑" w:hAnsi="微软雅黑" w:cs="宋体" w:hint="eastAsia"/>
                <w:color w:val="212121"/>
                <w:kern w:val="0"/>
                <w:szCs w:val="21"/>
              </w:rPr>
              <w:t>宋先梅</w:t>
            </w:r>
            <w:proofErr w:type="gramEnd"/>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单位：招标人代表</w:t>
            </w:r>
          </w:p>
        </w:tc>
      </w:tr>
      <w:tr w:rsidR="006B5F77" w:rsidRPr="00091EFD" w:rsidTr="00091EFD">
        <w:tc>
          <w:tcPr>
            <w:tcW w:w="1250" w:type="pct"/>
            <w:gridSpan w:val="4"/>
            <w:vMerge w:val="restart"/>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监督部门名称及监督电话</w:t>
            </w:r>
          </w:p>
        </w:tc>
        <w:tc>
          <w:tcPr>
            <w:tcW w:w="250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项目审批部门:成都市发展和</w:t>
            </w:r>
            <w:proofErr w:type="gramStart"/>
            <w:r w:rsidRPr="006B5F77">
              <w:rPr>
                <w:rFonts w:ascii="微软雅黑" w:eastAsia="微软雅黑" w:hAnsi="微软雅黑" w:cs="宋体" w:hint="eastAsia"/>
                <w:color w:val="212121"/>
                <w:kern w:val="0"/>
                <w:szCs w:val="21"/>
              </w:rPr>
              <w:t>改革局</w:t>
            </w:r>
            <w:proofErr w:type="gramEnd"/>
          </w:p>
        </w:tc>
        <w:tc>
          <w:tcPr>
            <w:tcW w:w="125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联系电话:/</w:t>
            </w:r>
          </w:p>
        </w:tc>
      </w:tr>
      <w:tr w:rsidR="006B5F77" w:rsidRPr="00091EFD" w:rsidTr="00091EFD">
        <w:tc>
          <w:tcPr>
            <w:tcW w:w="1250" w:type="pct"/>
            <w:gridSpan w:val="4"/>
            <w:vMerge/>
            <w:tcBorders>
              <w:top w:val="single" w:sz="6" w:space="0" w:color="212121"/>
              <w:left w:val="single" w:sz="6" w:space="0" w:color="212121"/>
              <w:bottom w:val="single" w:sz="6" w:space="0" w:color="212121"/>
              <w:right w:val="single" w:sz="6" w:space="0" w:color="212121"/>
            </w:tcBorders>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p>
        </w:tc>
        <w:tc>
          <w:tcPr>
            <w:tcW w:w="250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行业主管部门：成都市住房和城乡建设局</w:t>
            </w:r>
          </w:p>
        </w:tc>
        <w:tc>
          <w:tcPr>
            <w:tcW w:w="1250" w:type="pct"/>
            <w:gridSpan w:val="6"/>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联系电话：/</w:t>
            </w:r>
          </w:p>
        </w:tc>
      </w:tr>
      <w:tr w:rsidR="006B5F77" w:rsidRPr="00091EFD" w:rsidTr="00091EFD">
        <w:tc>
          <w:tcPr>
            <w:tcW w:w="1250" w:type="pct"/>
            <w:gridSpan w:val="4"/>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异议投诉注意事项</w:t>
            </w:r>
          </w:p>
        </w:tc>
        <w:tc>
          <w:tcPr>
            <w:tcW w:w="3750" w:type="pct"/>
            <w:gridSpan w:val="12"/>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1.投标人或者其他利害关系人对依法必须进行招标的项目的评标结果有异议的，应当在中标候选人公示期间提出。招标人应当自收到异议之日起3日内</w:t>
            </w:r>
            <w:proofErr w:type="gramStart"/>
            <w:r w:rsidRPr="006B5F77">
              <w:rPr>
                <w:rFonts w:ascii="微软雅黑" w:eastAsia="微软雅黑" w:hAnsi="微软雅黑" w:cs="宋体" w:hint="eastAsia"/>
                <w:color w:val="212121"/>
                <w:kern w:val="0"/>
                <w:szCs w:val="21"/>
              </w:rPr>
              <w:t>作出</w:t>
            </w:r>
            <w:proofErr w:type="gramEnd"/>
            <w:r w:rsidRPr="006B5F77">
              <w:rPr>
                <w:rFonts w:ascii="微软雅黑" w:eastAsia="微软雅黑" w:hAnsi="微软雅黑" w:cs="宋体" w:hint="eastAsia"/>
                <w:color w:val="212121"/>
                <w:kern w:val="0"/>
                <w:szCs w:val="21"/>
              </w:rPr>
              <w:t>答复；</w:t>
            </w:r>
            <w:proofErr w:type="gramStart"/>
            <w:r w:rsidRPr="006B5F77">
              <w:rPr>
                <w:rFonts w:ascii="微软雅黑" w:eastAsia="微软雅黑" w:hAnsi="微软雅黑" w:cs="宋体" w:hint="eastAsia"/>
                <w:color w:val="212121"/>
                <w:kern w:val="0"/>
                <w:szCs w:val="21"/>
              </w:rPr>
              <w:t>作出</w:t>
            </w:r>
            <w:proofErr w:type="gramEnd"/>
            <w:r w:rsidRPr="006B5F77">
              <w:rPr>
                <w:rFonts w:ascii="微软雅黑" w:eastAsia="微软雅黑" w:hAnsi="微软雅黑" w:cs="宋体" w:hint="eastAsia"/>
                <w:color w:val="212121"/>
                <w:kern w:val="0"/>
                <w:szCs w:val="21"/>
              </w:rPr>
              <w:t>答复前，应当暂停招标投标活动。</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2.投标人或者其他利害关系人认为评标结果不符合法律、行政法规规定的，可以自知道或者应当知道之日起10日内向有关行政监督部门投诉。投诉前应当先向招标人提出异议，异议答复期间不计算在前款规定的期限内。投诉书应当符合《工程建设项目招标投标活动投诉处理办法》规定。</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3.对评标结果的投诉，涉及投标人弄虚作假骗取中标的由行业主管部门负责受理，涉及评标错误或评标无效的由项目审批部门负责受理。</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4.投诉人就同一事项向两个以上有权受理的行政监督部门投诉的，由最先收到投诉的行政监督部门负责处理。</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5.应先提出异议没有提出异议，超过投诉时效等不符合受理条件的投诉，有关行政监督部门不予受理；</w:t>
            </w:r>
          </w:p>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投诉人故意捏造事实、伪造证明材料或者以非法手段取得证明材料进行投诉，给他人造成损失的，依法承担赔偿责任。</w:t>
            </w:r>
          </w:p>
        </w:tc>
      </w:tr>
      <w:tr w:rsidR="006B5F77" w:rsidRPr="00091EFD" w:rsidTr="00091EFD">
        <w:trPr>
          <w:trHeight w:val="1050"/>
        </w:trPr>
        <w:tc>
          <w:tcPr>
            <w:tcW w:w="2500" w:type="pct"/>
            <w:gridSpan w:val="7"/>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lastRenderedPageBreak/>
              <w:t>招标人主要负责人签字、盖单位章:</w:t>
            </w:r>
          </w:p>
        </w:tc>
        <w:tc>
          <w:tcPr>
            <w:tcW w:w="2500" w:type="pct"/>
            <w:gridSpan w:val="9"/>
            <w:tcBorders>
              <w:top w:val="single" w:sz="6" w:space="0" w:color="212121"/>
              <w:left w:val="single" w:sz="6" w:space="0" w:color="212121"/>
              <w:bottom w:val="single" w:sz="6" w:space="0" w:color="212121"/>
              <w:right w:val="single" w:sz="6" w:space="0" w:color="212121"/>
            </w:tcBorders>
            <w:tcMar>
              <w:top w:w="75" w:type="dxa"/>
              <w:left w:w="75" w:type="dxa"/>
              <w:bottom w:w="75" w:type="dxa"/>
              <w:right w:w="75" w:type="dxa"/>
            </w:tcMar>
            <w:vAlign w:val="center"/>
            <w:hideMark/>
          </w:tcPr>
          <w:p w:rsidR="006B5F77" w:rsidRPr="006B5F77" w:rsidRDefault="006B5F77" w:rsidP="00091EFD">
            <w:pPr>
              <w:widowControl/>
              <w:snapToGrid w:val="0"/>
              <w:spacing w:after="0" w:line="240" w:lineRule="auto"/>
              <w:jc w:val="left"/>
              <w:rPr>
                <w:rFonts w:ascii="微软雅黑" w:eastAsia="微软雅黑" w:hAnsi="微软雅黑" w:cs="宋体"/>
                <w:color w:val="212121"/>
                <w:kern w:val="0"/>
                <w:szCs w:val="21"/>
              </w:rPr>
            </w:pPr>
            <w:r w:rsidRPr="006B5F77">
              <w:rPr>
                <w:rFonts w:ascii="微软雅黑" w:eastAsia="微软雅黑" w:hAnsi="微软雅黑" w:cs="宋体" w:hint="eastAsia"/>
                <w:color w:val="212121"/>
                <w:kern w:val="0"/>
                <w:szCs w:val="21"/>
              </w:rPr>
              <w:t>招标代理机构主要负责人签字、盖单位章：</w:t>
            </w:r>
          </w:p>
        </w:tc>
      </w:tr>
    </w:tbl>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注：1.实行电子评标的，中标候选人公示的内容作为评标报告的一部分，由评标软件自动生成，评标委员会复核，招标人或其委托的招标代理机构电子签名和签章确认；还没有实行电子评标的，招标人应根据公示标准文本要求，严格按评标报告和投标文件真实完整地填报公示信息，不得隐瞒、歪曲应当公示的信息，并对填写的中标候选人公示内容的完整性、真实性、准确性和一致性负责。表中所有空格内容均须填写，不得空白，如确实不须填写或无法填写，应在空格中填写“无”。</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2.中标候选人是联合体的，“中标候选人名称”中联合体各方的名称均应填写。</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3.表中的“中标候选人类似业绩”和“中标候选人项目负责人类似业绩” 应填写中标候选人在投标文件中所附所有业绩。</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4.表中的“项目负责人”施工招标指项目经理、 监理招标指项目总监等；表中的“项目技术负责人”是指项目主要技术人员或项目总工，如设计中只有多个专业技术负责人，应都作为项目技术负责人，扩展表格，分别填写。</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5.表中的“开工日期”和“竣工日期”、“交工日期”以各有关行政监督部门相关规定为准。</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6.日期（年月日）的格式统一以阿拉伯数字表示。如：2015年9月1日，填写为20150901； 2015年9月，填写为201509； 再如2015年，填写为2015，2015/9/15 9:00:00填写为20150915－9:00:00。</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7.表中的“合同价格”，是指承包人按合同约定完成了包括缺陷责任期内的全部承包工作后，发包人应付给承包人的金额，包括在履行合同过程中按合同约定进行的变更和调整。</w:t>
      </w:r>
      <w:proofErr w:type="gramStart"/>
      <w:r w:rsidRPr="00091EFD">
        <w:rPr>
          <w:rFonts w:ascii="微软雅黑" w:eastAsia="微软雅黑" w:hAnsi="微软雅黑" w:cs="宋体" w:hint="eastAsia"/>
          <w:color w:val="212121"/>
          <w:kern w:val="0"/>
          <w:szCs w:val="21"/>
        </w:rPr>
        <w:t>元指人民币</w:t>
      </w:r>
      <w:proofErr w:type="gramEnd"/>
      <w:r w:rsidRPr="00091EFD">
        <w:rPr>
          <w:rFonts w:ascii="微软雅黑" w:eastAsia="微软雅黑" w:hAnsi="微软雅黑" w:cs="宋体" w:hint="eastAsia"/>
          <w:color w:val="212121"/>
          <w:kern w:val="0"/>
          <w:szCs w:val="21"/>
        </w:rPr>
        <w:t>元。</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8.表中的“建设规模”采购招标应填写主要货物的数量、类型、规格等技术参数。</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9.参与投标的所有投标人都需要公示，除中标候选人之外，其他投标人在“其他投标人（除中标候选人之外的）评审情况”中填写。没有被否决的投标，填写投标人名称、投标报价（元）、经评审的投标价（元）、综合评标得分；被否决的投标，填写投标人名称、否决投标依据条款、否决投标理由、备注。</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10.所有的评标委员会成员（含业主评标代表）都需要填写；评标委员会成员有多个单位的，都需要填写。</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lastRenderedPageBreak/>
        <w:t>11.投标人认为评标委员会对本单位的评审可能存在错误的，可以在公示期内要求招标人提供评标报告中关于本单位的评审内容，招标人在收到投标人申请之日起，3日内予以答复。招标人不得泄露其他投标人相关的评标内容。</w:t>
      </w:r>
    </w:p>
    <w:p w:rsidR="006B5F77" w:rsidRPr="00091EFD" w:rsidRDefault="006B5F77" w:rsidP="00091EFD">
      <w:pPr>
        <w:widowControl/>
        <w:snapToGrid w:val="0"/>
        <w:spacing w:after="0" w:line="240" w:lineRule="auto"/>
        <w:jc w:val="left"/>
        <w:rPr>
          <w:rFonts w:ascii="微软雅黑" w:eastAsia="微软雅黑" w:hAnsi="微软雅黑" w:cs="宋体"/>
          <w:color w:val="212121"/>
          <w:kern w:val="0"/>
          <w:szCs w:val="21"/>
        </w:rPr>
      </w:pPr>
      <w:r w:rsidRPr="00091EFD">
        <w:rPr>
          <w:rFonts w:ascii="微软雅黑" w:eastAsia="微软雅黑" w:hAnsi="微软雅黑" w:cs="宋体" w:hint="eastAsia"/>
          <w:color w:val="212121"/>
          <w:kern w:val="0"/>
          <w:szCs w:val="21"/>
        </w:rPr>
        <w:t>12.中标候选人公示纸质文本招标人须加盖单位公章，多页还应加盖骑缝章。</w:t>
      </w:r>
    </w:p>
    <w:p w:rsidR="00D00546" w:rsidRPr="00091EFD" w:rsidRDefault="00D00546" w:rsidP="00091EFD">
      <w:pPr>
        <w:widowControl/>
        <w:snapToGrid w:val="0"/>
        <w:spacing w:after="0" w:line="240" w:lineRule="auto"/>
        <w:jc w:val="left"/>
        <w:rPr>
          <w:rFonts w:ascii="微软雅黑" w:eastAsia="微软雅黑" w:hAnsi="微软雅黑" w:cs="宋体"/>
          <w:color w:val="212121"/>
          <w:kern w:val="0"/>
          <w:szCs w:val="21"/>
        </w:rPr>
      </w:pPr>
    </w:p>
    <w:sectPr w:rsidR="00D00546" w:rsidRPr="00091EFD" w:rsidSect="006B5F7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9D" w:rsidRDefault="00DA3D9D" w:rsidP="006B5F77">
      <w:pPr>
        <w:spacing w:after="0" w:line="240" w:lineRule="auto"/>
      </w:pPr>
      <w:r>
        <w:separator/>
      </w:r>
    </w:p>
  </w:endnote>
  <w:endnote w:type="continuationSeparator" w:id="0">
    <w:p w:rsidR="00DA3D9D" w:rsidRDefault="00DA3D9D" w:rsidP="006B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9D" w:rsidRDefault="00DA3D9D" w:rsidP="006B5F77">
      <w:pPr>
        <w:spacing w:after="0" w:line="240" w:lineRule="auto"/>
      </w:pPr>
      <w:r>
        <w:separator/>
      </w:r>
    </w:p>
  </w:footnote>
  <w:footnote w:type="continuationSeparator" w:id="0">
    <w:p w:rsidR="00DA3D9D" w:rsidRDefault="00DA3D9D" w:rsidP="006B5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2258"/>
    <w:rsid w:val="00091EFD"/>
    <w:rsid w:val="003A0931"/>
    <w:rsid w:val="006B5F77"/>
    <w:rsid w:val="006C0B00"/>
    <w:rsid w:val="00740E6D"/>
    <w:rsid w:val="00841B0F"/>
    <w:rsid w:val="009F2258"/>
    <w:rsid w:val="00D00546"/>
    <w:rsid w:val="00DA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F7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B5F77"/>
    <w:rPr>
      <w:sz w:val="18"/>
      <w:szCs w:val="18"/>
    </w:rPr>
  </w:style>
  <w:style w:type="paragraph" w:styleId="a4">
    <w:name w:val="footer"/>
    <w:basedOn w:val="a"/>
    <w:link w:val="Char0"/>
    <w:uiPriority w:val="99"/>
    <w:unhideWhenUsed/>
    <w:rsid w:val="006B5F7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B5F77"/>
    <w:rPr>
      <w:sz w:val="18"/>
      <w:szCs w:val="18"/>
    </w:rPr>
  </w:style>
  <w:style w:type="paragraph" w:styleId="a5">
    <w:name w:val="Normal (Web)"/>
    <w:basedOn w:val="a"/>
    <w:uiPriority w:val="99"/>
    <w:unhideWhenUsed/>
    <w:rsid w:val="006B5F77"/>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318911">
      <w:bodyDiv w:val="1"/>
      <w:marLeft w:val="0"/>
      <w:marRight w:val="0"/>
      <w:marTop w:val="0"/>
      <w:marBottom w:val="0"/>
      <w:divBdr>
        <w:top w:val="none" w:sz="0" w:space="0" w:color="auto"/>
        <w:left w:val="none" w:sz="0" w:space="0" w:color="auto"/>
        <w:bottom w:val="none" w:sz="0" w:space="0" w:color="auto"/>
        <w:right w:val="none" w:sz="0" w:space="0" w:color="auto"/>
      </w:divBdr>
      <w:divsChild>
        <w:div w:id="916062730">
          <w:marLeft w:val="0"/>
          <w:marRight w:val="0"/>
          <w:marTop w:val="0"/>
          <w:marBottom w:val="0"/>
          <w:divBdr>
            <w:top w:val="none" w:sz="0" w:space="0" w:color="auto"/>
            <w:left w:val="none" w:sz="0" w:space="0" w:color="auto"/>
            <w:bottom w:val="none" w:sz="0" w:space="0" w:color="auto"/>
            <w:right w:val="none" w:sz="0" w:space="0" w:color="auto"/>
          </w:divBdr>
          <w:divsChild>
            <w:div w:id="612399908">
              <w:marLeft w:val="0"/>
              <w:marRight w:val="0"/>
              <w:marTop w:val="0"/>
              <w:marBottom w:val="0"/>
              <w:divBdr>
                <w:top w:val="none" w:sz="0" w:space="0" w:color="auto"/>
                <w:left w:val="none" w:sz="0" w:space="0" w:color="auto"/>
                <w:bottom w:val="none" w:sz="0" w:space="0" w:color="auto"/>
                <w:right w:val="none" w:sz="0" w:space="0" w:color="auto"/>
              </w:divBdr>
              <w:divsChild>
                <w:div w:id="492717294">
                  <w:marLeft w:val="0"/>
                  <w:marRight w:val="0"/>
                  <w:marTop w:val="0"/>
                  <w:marBottom w:val="0"/>
                  <w:divBdr>
                    <w:top w:val="none" w:sz="0" w:space="0" w:color="auto"/>
                    <w:left w:val="none" w:sz="0" w:space="0" w:color="auto"/>
                    <w:bottom w:val="none" w:sz="0" w:space="0" w:color="auto"/>
                    <w:right w:val="none" w:sz="0" w:space="0" w:color="auto"/>
                  </w:divBdr>
                </w:div>
                <w:div w:id="2017026626">
                  <w:marLeft w:val="0"/>
                  <w:marRight w:val="0"/>
                  <w:marTop w:val="0"/>
                  <w:marBottom w:val="0"/>
                  <w:divBdr>
                    <w:top w:val="none" w:sz="0" w:space="0" w:color="auto"/>
                    <w:left w:val="none" w:sz="0" w:space="0" w:color="auto"/>
                    <w:bottom w:val="none" w:sz="0" w:space="0" w:color="auto"/>
                    <w:right w:val="none" w:sz="0" w:space="0" w:color="auto"/>
                  </w:divBdr>
                </w:div>
              </w:divsChild>
            </w:div>
            <w:div w:id="415709641">
              <w:marLeft w:val="0"/>
              <w:marRight w:val="0"/>
              <w:marTop w:val="0"/>
              <w:marBottom w:val="0"/>
              <w:divBdr>
                <w:top w:val="none" w:sz="0" w:space="0" w:color="auto"/>
                <w:left w:val="none" w:sz="0" w:space="0" w:color="auto"/>
                <w:bottom w:val="none" w:sz="0" w:space="0" w:color="auto"/>
                <w:right w:val="none" w:sz="0" w:space="0" w:color="auto"/>
              </w:divBdr>
              <w:divsChild>
                <w:div w:id="1133870080">
                  <w:marLeft w:val="0"/>
                  <w:marRight w:val="0"/>
                  <w:marTop w:val="0"/>
                  <w:marBottom w:val="0"/>
                  <w:divBdr>
                    <w:top w:val="none" w:sz="0" w:space="0" w:color="auto"/>
                    <w:left w:val="none" w:sz="0" w:space="0" w:color="auto"/>
                    <w:bottom w:val="none" w:sz="0" w:space="0" w:color="auto"/>
                    <w:right w:val="none" w:sz="0" w:space="0" w:color="auto"/>
                  </w:divBdr>
                </w:div>
                <w:div w:id="739013063">
                  <w:marLeft w:val="0"/>
                  <w:marRight w:val="0"/>
                  <w:marTop w:val="0"/>
                  <w:marBottom w:val="0"/>
                  <w:divBdr>
                    <w:top w:val="none" w:sz="0" w:space="0" w:color="auto"/>
                    <w:left w:val="none" w:sz="0" w:space="0" w:color="auto"/>
                    <w:bottom w:val="none" w:sz="0" w:space="0" w:color="auto"/>
                    <w:right w:val="none" w:sz="0" w:space="0" w:color="auto"/>
                  </w:divBdr>
                </w:div>
              </w:divsChild>
            </w:div>
            <w:div w:id="1573346570">
              <w:marLeft w:val="0"/>
              <w:marRight w:val="0"/>
              <w:marTop w:val="0"/>
              <w:marBottom w:val="0"/>
              <w:divBdr>
                <w:top w:val="none" w:sz="0" w:space="0" w:color="auto"/>
                <w:left w:val="none" w:sz="0" w:space="0" w:color="auto"/>
                <w:bottom w:val="none" w:sz="0" w:space="0" w:color="auto"/>
                <w:right w:val="none" w:sz="0" w:space="0" w:color="auto"/>
              </w:divBdr>
              <w:divsChild>
                <w:div w:id="1598712869">
                  <w:marLeft w:val="0"/>
                  <w:marRight w:val="0"/>
                  <w:marTop w:val="0"/>
                  <w:marBottom w:val="0"/>
                  <w:divBdr>
                    <w:top w:val="none" w:sz="0" w:space="0" w:color="auto"/>
                    <w:left w:val="none" w:sz="0" w:space="0" w:color="auto"/>
                    <w:bottom w:val="none" w:sz="0" w:space="0" w:color="auto"/>
                    <w:right w:val="none" w:sz="0" w:space="0" w:color="auto"/>
                  </w:divBdr>
                </w:div>
                <w:div w:id="1668438869">
                  <w:marLeft w:val="0"/>
                  <w:marRight w:val="0"/>
                  <w:marTop w:val="0"/>
                  <w:marBottom w:val="0"/>
                  <w:divBdr>
                    <w:top w:val="none" w:sz="0" w:space="0" w:color="auto"/>
                    <w:left w:val="none" w:sz="0" w:space="0" w:color="auto"/>
                    <w:bottom w:val="none" w:sz="0" w:space="0" w:color="auto"/>
                    <w:right w:val="none" w:sz="0" w:space="0" w:color="auto"/>
                  </w:divBdr>
                </w:div>
              </w:divsChild>
            </w:div>
            <w:div w:id="1129780724">
              <w:marLeft w:val="0"/>
              <w:marRight w:val="0"/>
              <w:marTop w:val="0"/>
              <w:marBottom w:val="0"/>
              <w:divBdr>
                <w:top w:val="none" w:sz="0" w:space="0" w:color="auto"/>
                <w:left w:val="none" w:sz="0" w:space="0" w:color="auto"/>
                <w:bottom w:val="none" w:sz="0" w:space="0" w:color="auto"/>
                <w:right w:val="none" w:sz="0" w:space="0" w:color="auto"/>
              </w:divBdr>
              <w:divsChild>
                <w:div w:id="1835796559">
                  <w:marLeft w:val="0"/>
                  <w:marRight w:val="0"/>
                  <w:marTop w:val="0"/>
                  <w:marBottom w:val="0"/>
                  <w:divBdr>
                    <w:top w:val="none" w:sz="0" w:space="0" w:color="auto"/>
                    <w:left w:val="none" w:sz="0" w:space="0" w:color="auto"/>
                    <w:bottom w:val="none" w:sz="0" w:space="0" w:color="auto"/>
                    <w:right w:val="none" w:sz="0" w:space="0" w:color="auto"/>
                  </w:divBdr>
                </w:div>
                <w:div w:id="968902759">
                  <w:marLeft w:val="0"/>
                  <w:marRight w:val="0"/>
                  <w:marTop w:val="0"/>
                  <w:marBottom w:val="0"/>
                  <w:divBdr>
                    <w:top w:val="none" w:sz="0" w:space="0" w:color="auto"/>
                    <w:left w:val="none" w:sz="0" w:space="0" w:color="auto"/>
                    <w:bottom w:val="none" w:sz="0" w:space="0" w:color="auto"/>
                    <w:right w:val="none" w:sz="0" w:space="0" w:color="auto"/>
                  </w:divBdr>
                </w:div>
              </w:divsChild>
            </w:div>
            <w:div w:id="203567557">
              <w:marLeft w:val="0"/>
              <w:marRight w:val="0"/>
              <w:marTop w:val="0"/>
              <w:marBottom w:val="0"/>
              <w:divBdr>
                <w:top w:val="none" w:sz="0" w:space="0" w:color="auto"/>
                <w:left w:val="none" w:sz="0" w:space="0" w:color="auto"/>
                <w:bottom w:val="none" w:sz="0" w:space="0" w:color="auto"/>
                <w:right w:val="none" w:sz="0" w:space="0" w:color="auto"/>
              </w:divBdr>
              <w:divsChild>
                <w:div w:id="872226094">
                  <w:marLeft w:val="0"/>
                  <w:marRight w:val="0"/>
                  <w:marTop w:val="0"/>
                  <w:marBottom w:val="0"/>
                  <w:divBdr>
                    <w:top w:val="none" w:sz="0" w:space="0" w:color="auto"/>
                    <w:left w:val="none" w:sz="0" w:space="0" w:color="auto"/>
                    <w:bottom w:val="none" w:sz="0" w:space="0" w:color="auto"/>
                    <w:right w:val="none" w:sz="0" w:space="0" w:color="auto"/>
                  </w:divBdr>
                </w:div>
                <w:div w:id="1832719165">
                  <w:marLeft w:val="0"/>
                  <w:marRight w:val="0"/>
                  <w:marTop w:val="0"/>
                  <w:marBottom w:val="0"/>
                  <w:divBdr>
                    <w:top w:val="none" w:sz="0" w:space="0" w:color="auto"/>
                    <w:left w:val="none" w:sz="0" w:space="0" w:color="auto"/>
                    <w:bottom w:val="none" w:sz="0" w:space="0" w:color="auto"/>
                    <w:right w:val="none" w:sz="0" w:space="0" w:color="auto"/>
                  </w:divBdr>
                </w:div>
              </w:divsChild>
            </w:div>
            <w:div w:id="668870492">
              <w:marLeft w:val="0"/>
              <w:marRight w:val="0"/>
              <w:marTop w:val="0"/>
              <w:marBottom w:val="0"/>
              <w:divBdr>
                <w:top w:val="none" w:sz="0" w:space="0" w:color="auto"/>
                <w:left w:val="none" w:sz="0" w:space="0" w:color="auto"/>
                <w:bottom w:val="none" w:sz="0" w:space="0" w:color="auto"/>
                <w:right w:val="none" w:sz="0" w:space="0" w:color="auto"/>
              </w:divBdr>
              <w:divsChild>
                <w:div w:id="1556743066">
                  <w:marLeft w:val="0"/>
                  <w:marRight w:val="0"/>
                  <w:marTop w:val="0"/>
                  <w:marBottom w:val="0"/>
                  <w:divBdr>
                    <w:top w:val="none" w:sz="0" w:space="0" w:color="auto"/>
                    <w:left w:val="none" w:sz="0" w:space="0" w:color="auto"/>
                    <w:bottom w:val="none" w:sz="0" w:space="0" w:color="auto"/>
                    <w:right w:val="none" w:sz="0" w:space="0" w:color="auto"/>
                  </w:divBdr>
                </w:div>
                <w:div w:id="671492610">
                  <w:marLeft w:val="0"/>
                  <w:marRight w:val="0"/>
                  <w:marTop w:val="0"/>
                  <w:marBottom w:val="0"/>
                  <w:divBdr>
                    <w:top w:val="none" w:sz="0" w:space="0" w:color="auto"/>
                    <w:left w:val="none" w:sz="0" w:space="0" w:color="auto"/>
                    <w:bottom w:val="none" w:sz="0" w:space="0" w:color="auto"/>
                    <w:right w:val="none" w:sz="0" w:space="0" w:color="auto"/>
                  </w:divBdr>
                </w:div>
              </w:divsChild>
            </w:div>
            <w:div w:id="850068604">
              <w:marLeft w:val="0"/>
              <w:marRight w:val="0"/>
              <w:marTop w:val="0"/>
              <w:marBottom w:val="0"/>
              <w:divBdr>
                <w:top w:val="none" w:sz="0" w:space="0" w:color="auto"/>
                <w:left w:val="none" w:sz="0" w:space="0" w:color="auto"/>
                <w:bottom w:val="none" w:sz="0" w:space="0" w:color="auto"/>
                <w:right w:val="none" w:sz="0" w:space="0" w:color="auto"/>
              </w:divBdr>
              <w:divsChild>
                <w:div w:id="1979147061">
                  <w:marLeft w:val="0"/>
                  <w:marRight w:val="0"/>
                  <w:marTop w:val="0"/>
                  <w:marBottom w:val="0"/>
                  <w:divBdr>
                    <w:top w:val="none" w:sz="0" w:space="0" w:color="auto"/>
                    <w:left w:val="none" w:sz="0" w:space="0" w:color="auto"/>
                    <w:bottom w:val="none" w:sz="0" w:space="0" w:color="auto"/>
                    <w:right w:val="none" w:sz="0" w:space="0" w:color="auto"/>
                  </w:divBdr>
                </w:div>
                <w:div w:id="106121816">
                  <w:marLeft w:val="0"/>
                  <w:marRight w:val="0"/>
                  <w:marTop w:val="0"/>
                  <w:marBottom w:val="0"/>
                  <w:divBdr>
                    <w:top w:val="none" w:sz="0" w:space="0" w:color="auto"/>
                    <w:left w:val="none" w:sz="0" w:space="0" w:color="auto"/>
                    <w:bottom w:val="none" w:sz="0" w:space="0" w:color="auto"/>
                    <w:right w:val="none" w:sz="0" w:space="0" w:color="auto"/>
                  </w:divBdr>
                </w:div>
              </w:divsChild>
            </w:div>
            <w:div w:id="1397240679">
              <w:marLeft w:val="0"/>
              <w:marRight w:val="0"/>
              <w:marTop w:val="0"/>
              <w:marBottom w:val="0"/>
              <w:divBdr>
                <w:top w:val="none" w:sz="0" w:space="0" w:color="auto"/>
                <w:left w:val="none" w:sz="0" w:space="0" w:color="auto"/>
                <w:bottom w:val="none" w:sz="0" w:space="0" w:color="auto"/>
                <w:right w:val="none" w:sz="0" w:space="0" w:color="auto"/>
              </w:divBdr>
            </w:div>
            <w:div w:id="16301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2327">
      <w:bodyDiv w:val="1"/>
      <w:marLeft w:val="0"/>
      <w:marRight w:val="0"/>
      <w:marTop w:val="0"/>
      <w:marBottom w:val="0"/>
      <w:divBdr>
        <w:top w:val="none" w:sz="0" w:space="0" w:color="auto"/>
        <w:left w:val="none" w:sz="0" w:space="0" w:color="auto"/>
        <w:bottom w:val="none" w:sz="0" w:space="0" w:color="auto"/>
        <w:right w:val="none" w:sz="0" w:space="0" w:color="auto"/>
      </w:divBdr>
      <w:divsChild>
        <w:div w:id="1738625122">
          <w:marLeft w:val="0"/>
          <w:marRight w:val="0"/>
          <w:marTop w:val="0"/>
          <w:marBottom w:val="0"/>
          <w:divBdr>
            <w:top w:val="none" w:sz="0" w:space="0" w:color="auto"/>
            <w:left w:val="none" w:sz="0" w:space="0" w:color="auto"/>
            <w:bottom w:val="none" w:sz="0" w:space="0" w:color="auto"/>
            <w:right w:val="none" w:sz="0" w:space="0" w:color="auto"/>
          </w:divBdr>
          <w:divsChild>
            <w:div w:id="1087773790">
              <w:marLeft w:val="0"/>
              <w:marRight w:val="0"/>
              <w:marTop w:val="0"/>
              <w:marBottom w:val="0"/>
              <w:divBdr>
                <w:top w:val="none" w:sz="0" w:space="0" w:color="auto"/>
                <w:left w:val="none" w:sz="0" w:space="0" w:color="auto"/>
                <w:bottom w:val="none" w:sz="0" w:space="0" w:color="auto"/>
                <w:right w:val="none" w:sz="0" w:space="0" w:color="auto"/>
              </w:divBdr>
              <w:divsChild>
                <w:div w:id="951595236">
                  <w:marLeft w:val="0"/>
                  <w:marRight w:val="0"/>
                  <w:marTop w:val="0"/>
                  <w:marBottom w:val="0"/>
                  <w:divBdr>
                    <w:top w:val="none" w:sz="0" w:space="0" w:color="auto"/>
                    <w:left w:val="none" w:sz="0" w:space="0" w:color="auto"/>
                    <w:bottom w:val="none" w:sz="0" w:space="0" w:color="auto"/>
                    <w:right w:val="none" w:sz="0" w:space="0" w:color="auto"/>
                  </w:divBdr>
                </w:div>
                <w:div w:id="1072971468">
                  <w:marLeft w:val="0"/>
                  <w:marRight w:val="0"/>
                  <w:marTop w:val="0"/>
                  <w:marBottom w:val="0"/>
                  <w:divBdr>
                    <w:top w:val="none" w:sz="0" w:space="0" w:color="auto"/>
                    <w:left w:val="none" w:sz="0" w:space="0" w:color="auto"/>
                    <w:bottom w:val="none" w:sz="0" w:space="0" w:color="auto"/>
                    <w:right w:val="none" w:sz="0" w:space="0" w:color="auto"/>
                  </w:divBdr>
                </w:div>
              </w:divsChild>
            </w:div>
            <w:div w:id="578755698">
              <w:marLeft w:val="0"/>
              <w:marRight w:val="0"/>
              <w:marTop w:val="0"/>
              <w:marBottom w:val="0"/>
              <w:divBdr>
                <w:top w:val="none" w:sz="0" w:space="0" w:color="auto"/>
                <w:left w:val="none" w:sz="0" w:space="0" w:color="auto"/>
                <w:bottom w:val="none" w:sz="0" w:space="0" w:color="auto"/>
                <w:right w:val="none" w:sz="0" w:space="0" w:color="auto"/>
              </w:divBdr>
              <w:divsChild>
                <w:div w:id="1410998598">
                  <w:marLeft w:val="0"/>
                  <w:marRight w:val="0"/>
                  <w:marTop w:val="0"/>
                  <w:marBottom w:val="0"/>
                  <w:divBdr>
                    <w:top w:val="none" w:sz="0" w:space="0" w:color="auto"/>
                    <w:left w:val="none" w:sz="0" w:space="0" w:color="auto"/>
                    <w:bottom w:val="none" w:sz="0" w:space="0" w:color="auto"/>
                    <w:right w:val="none" w:sz="0" w:space="0" w:color="auto"/>
                  </w:divBdr>
                </w:div>
                <w:div w:id="303241752">
                  <w:marLeft w:val="0"/>
                  <w:marRight w:val="0"/>
                  <w:marTop w:val="0"/>
                  <w:marBottom w:val="0"/>
                  <w:divBdr>
                    <w:top w:val="none" w:sz="0" w:space="0" w:color="auto"/>
                    <w:left w:val="none" w:sz="0" w:space="0" w:color="auto"/>
                    <w:bottom w:val="none" w:sz="0" w:space="0" w:color="auto"/>
                    <w:right w:val="none" w:sz="0" w:space="0" w:color="auto"/>
                  </w:divBdr>
                </w:div>
              </w:divsChild>
            </w:div>
            <w:div w:id="525874545">
              <w:marLeft w:val="0"/>
              <w:marRight w:val="0"/>
              <w:marTop w:val="0"/>
              <w:marBottom w:val="0"/>
              <w:divBdr>
                <w:top w:val="none" w:sz="0" w:space="0" w:color="auto"/>
                <w:left w:val="none" w:sz="0" w:space="0" w:color="auto"/>
                <w:bottom w:val="none" w:sz="0" w:space="0" w:color="auto"/>
                <w:right w:val="none" w:sz="0" w:space="0" w:color="auto"/>
              </w:divBdr>
              <w:divsChild>
                <w:div w:id="1448698652">
                  <w:marLeft w:val="0"/>
                  <w:marRight w:val="0"/>
                  <w:marTop w:val="0"/>
                  <w:marBottom w:val="0"/>
                  <w:divBdr>
                    <w:top w:val="none" w:sz="0" w:space="0" w:color="auto"/>
                    <w:left w:val="none" w:sz="0" w:space="0" w:color="auto"/>
                    <w:bottom w:val="none" w:sz="0" w:space="0" w:color="auto"/>
                    <w:right w:val="none" w:sz="0" w:space="0" w:color="auto"/>
                  </w:divBdr>
                </w:div>
                <w:div w:id="1269584219">
                  <w:marLeft w:val="0"/>
                  <w:marRight w:val="0"/>
                  <w:marTop w:val="0"/>
                  <w:marBottom w:val="0"/>
                  <w:divBdr>
                    <w:top w:val="none" w:sz="0" w:space="0" w:color="auto"/>
                    <w:left w:val="none" w:sz="0" w:space="0" w:color="auto"/>
                    <w:bottom w:val="none" w:sz="0" w:space="0" w:color="auto"/>
                    <w:right w:val="none" w:sz="0" w:space="0" w:color="auto"/>
                  </w:divBdr>
                </w:div>
              </w:divsChild>
            </w:div>
            <w:div w:id="390345866">
              <w:marLeft w:val="0"/>
              <w:marRight w:val="0"/>
              <w:marTop w:val="0"/>
              <w:marBottom w:val="0"/>
              <w:divBdr>
                <w:top w:val="none" w:sz="0" w:space="0" w:color="auto"/>
                <w:left w:val="none" w:sz="0" w:space="0" w:color="auto"/>
                <w:bottom w:val="none" w:sz="0" w:space="0" w:color="auto"/>
                <w:right w:val="none" w:sz="0" w:space="0" w:color="auto"/>
              </w:divBdr>
              <w:divsChild>
                <w:div w:id="1283878751">
                  <w:marLeft w:val="0"/>
                  <w:marRight w:val="0"/>
                  <w:marTop w:val="0"/>
                  <w:marBottom w:val="0"/>
                  <w:divBdr>
                    <w:top w:val="none" w:sz="0" w:space="0" w:color="auto"/>
                    <w:left w:val="none" w:sz="0" w:space="0" w:color="auto"/>
                    <w:bottom w:val="none" w:sz="0" w:space="0" w:color="auto"/>
                    <w:right w:val="none" w:sz="0" w:space="0" w:color="auto"/>
                  </w:divBdr>
                </w:div>
                <w:div w:id="712191093">
                  <w:marLeft w:val="0"/>
                  <w:marRight w:val="0"/>
                  <w:marTop w:val="0"/>
                  <w:marBottom w:val="0"/>
                  <w:divBdr>
                    <w:top w:val="none" w:sz="0" w:space="0" w:color="auto"/>
                    <w:left w:val="none" w:sz="0" w:space="0" w:color="auto"/>
                    <w:bottom w:val="none" w:sz="0" w:space="0" w:color="auto"/>
                    <w:right w:val="none" w:sz="0" w:space="0" w:color="auto"/>
                  </w:divBdr>
                </w:div>
              </w:divsChild>
            </w:div>
            <w:div w:id="578564240">
              <w:marLeft w:val="0"/>
              <w:marRight w:val="0"/>
              <w:marTop w:val="0"/>
              <w:marBottom w:val="0"/>
              <w:divBdr>
                <w:top w:val="none" w:sz="0" w:space="0" w:color="auto"/>
                <w:left w:val="none" w:sz="0" w:space="0" w:color="auto"/>
                <w:bottom w:val="none" w:sz="0" w:space="0" w:color="auto"/>
                <w:right w:val="none" w:sz="0" w:space="0" w:color="auto"/>
              </w:divBdr>
              <w:divsChild>
                <w:div w:id="551960860">
                  <w:marLeft w:val="0"/>
                  <w:marRight w:val="0"/>
                  <w:marTop w:val="0"/>
                  <w:marBottom w:val="0"/>
                  <w:divBdr>
                    <w:top w:val="none" w:sz="0" w:space="0" w:color="auto"/>
                    <w:left w:val="none" w:sz="0" w:space="0" w:color="auto"/>
                    <w:bottom w:val="none" w:sz="0" w:space="0" w:color="auto"/>
                    <w:right w:val="none" w:sz="0" w:space="0" w:color="auto"/>
                  </w:divBdr>
                </w:div>
                <w:div w:id="1840316617">
                  <w:marLeft w:val="0"/>
                  <w:marRight w:val="0"/>
                  <w:marTop w:val="0"/>
                  <w:marBottom w:val="0"/>
                  <w:divBdr>
                    <w:top w:val="none" w:sz="0" w:space="0" w:color="auto"/>
                    <w:left w:val="none" w:sz="0" w:space="0" w:color="auto"/>
                    <w:bottom w:val="none" w:sz="0" w:space="0" w:color="auto"/>
                    <w:right w:val="none" w:sz="0" w:space="0" w:color="auto"/>
                  </w:divBdr>
                </w:div>
              </w:divsChild>
            </w:div>
            <w:div w:id="1925915082">
              <w:marLeft w:val="0"/>
              <w:marRight w:val="0"/>
              <w:marTop w:val="0"/>
              <w:marBottom w:val="0"/>
              <w:divBdr>
                <w:top w:val="none" w:sz="0" w:space="0" w:color="auto"/>
                <w:left w:val="none" w:sz="0" w:space="0" w:color="auto"/>
                <w:bottom w:val="none" w:sz="0" w:space="0" w:color="auto"/>
                <w:right w:val="none" w:sz="0" w:space="0" w:color="auto"/>
              </w:divBdr>
              <w:divsChild>
                <w:div w:id="328018560">
                  <w:marLeft w:val="0"/>
                  <w:marRight w:val="0"/>
                  <w:marTop w:val="0"/>
                  <w:marBottom w:val="0"/>
                  <w:divBdr>
                    <w:top w:val="none" w:sz="0" w:space="0" w:color="auto"/>
                    <w:left w:val="none" w:sz="0" w:space="0" w:color="auto"/>
                    <w:bottom w:val="none" w:sz="0" w:space="0" w:color="auto"/>
                    <w:right w:val="none" w:sz="0" w:space="0" w:color="auto"/>
                  </w:divBdr>
                </w:div>
                <w:div w:id="200284311">
                  <w:marLeft w:val="0"/>
                  <w:marRight w:val="0"/>
                  <w:marTop w:val="0"/>
                  <w:marBottom w:val="0"/>
                  <w:divBdr>
                    <w:top w:val="none" w:sz="0" w:space="0" w:color="auto"/>
                    <w:left w:val="none" w:sz="0" w:space="0" w:color="auto"/>
                    <w:bottom w:val="none" w:sz="0" w:space="0" w:color="auto"/>
                    <w:right w:val="none" w:sz="0" w:space="0" w:color="auto"/>
                  </w:divBdr>
                </w:div>
              </w:divsChild>
            </w:div>
            <w:div w:id="1646929383">
              <w:marLeft w:val="0"/>
              <w:marRight w:val="0"/>
              <w:marTop w:val="0"/>
              <w:marBottom w:val="0"/>
              <w:divBdr>
                <w:top w:val="none" w:sz="0" w:space="0" w:color="auto"/>
                <w:left w:val="none" w:sz="0" w:space="0" w:color="auto"/>
                <w:bottom w:val="none" w:sz="0" w:space="0" w:color="auto"/>
                <w:right w:val="none" w:sz="0" w:space="0" w:color="auto"/>
              </w:divBdr>
              <w:divsChild>
                <w:div w:id="1651055885">
                  <w:marLeft w:val="0"/>
                  <w:marRight w:val="0"/>
                  <w:marTop w:val="0"/>
                  <w:marBottom w:val="0"/>
                  <w:divBdr>
                    <w:top w:val="none" w:sz="0" w:space="0" w:color="auto"/>
                    <w:left w:val="none" w:sz="0" w:space="0" w:color="auto"/>
                    <w:bottom w:val="none" w:sz="0" w:space="0" w:color="auto"/>
                    <w:right w:val="none" w:sz="0" w:space="0" w:color="auto"/>
                  </w:divBdr>
                </w:div>
                <w:div w:id="524753174">
                  <w:marLeft w:val="0"/>
                  <w:marRight w:val="0"/>
                  <w:marTop w:val="0"/>
                  <w:marBottom w:val="0"/>
                  <w:divBdr>
                    <w:top w:val="none" w:sz="0" w:space="0" w:color="auto"/>
                    <w:left w:val="none" w:sz="0" w:space="0" w:color="auto"/>
                    <w:bottom w:val="none" w:sz="0" w:space="0" w:color="auto"/>
                    <w:right w:val="none" w:sz="0" w:space="0" w:color="auto"/>
                  </w:divBdr>
                </w:div>
              </w:divsChild>
            </w:div>
            <w:div w:id="656567100">
              <w:marLeft w:val="0"/>
              <w:marRight w:val="0"/>
              <w:marTop w:val="0"/>
              <w:marBottom w:val="0"/>
              <w:divBdr>
                <w:top w:val="none" w:sz="0" w:space="0" w:color="auto"/>
                <w:left w:val="none" w:sz="0" w:space="0" w:color="auto"/>
                <w:bottom w:val="none" w:sz="0" w:space="0" w:color="auto"/>
                <w:right w:val="none" w:sz="0" w:space="0" w:color="auto"/>
              </w:divBdr>
            </w:div>
            <w:div w:id="14992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865</Words>
  <Characters>4933</Characters>
  <Application>Microsoft Office Word</Application>
  <DocSecurity>0</DocSecurity>
  <Lines>41</Lines>
  <Paragraphs>11</Paragraphs>
  <ScaleCrop>false</ScaleCrop>
  <Company>微软中国</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2020-07-29T04:31:00Z</dcterms:created>
  <dcterms:modified xsi:type="dcterms:W3CDTF">2020-07-29T09:23:00Z</dcterms:modified>
</cp:coreProperties>
</file>